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骨架密度</w:t>
      </w:r>
      <w:r>
        <w:rPr>
          <w:rFonts w:hint="eastAsia" w:ascii="黑体" w:hAnsi="黑体" w:eastAsia="黑体" w:cs="黑体"/>
          <w:sz w:val="28"/>
          <w:szCs w:val="28"/>
        </w:rPr>
        <w:t>示值误差不确定度评定示例</w:t>
      </w:r>
    </w:p>
    <w:p>
      <w:pPr>
        <w:adjustRightInd w:val="0"/>
        <w:snapToGrid w:val="0"/>
        <w:spacing w:beforeLines="5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A.1  测量方法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仪器处于正常测量状态后，</w:t>
      </w:r>
      <w:r>
        <w:rPr>
          <w:rFonts w:hint="default" w:ascii="Times New Roman" w:hAnsi="Times New Roman" w:eastAsia="宋体" w:cs="Times New Roman"/>
          <w:sz w:val="24"/>
          <w:szCs w:val="24"/>
        </w:rPr>
        <w:t>选择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骨架密度标准物质</w:t>
      </w:r>
      <w:r>
        <w:rPr>
          <w:rFonts w:hint="default" w:ascii="Times New Roman" w:hAnsi="Times New Roman" w:eastAsia="宋体" w:cs="Times New Roman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准确称取标准物质的质量后，</w:t>
      </w:r>
      <w:r>
        <w:rPr>
          <w:rFonts w:hint="default" w:ascii="Times New Roman" w:hAnsi="Times New Roman" w:eastAsia="宋体" w:cs="Times New Roman"/>
          <w:sz w:val="24"/>
          <w:szCs w:val="24"/>
        </w:rPr>
        <w:t>装入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到经校准的</w:t>
      </w:r>
      <w:r>
        <w:rPr>
          <w:rFonts w:hint="default" w:ascii="Times New Roman" w:hAnsi="Times New Roman" w:eastAsia="宋体" w:cs="Times New Roman"/>
          <w:sz w:val="24"/>
          <w:szCs w:val="24"/>
        </w:rPr>
        <w:t>样品池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中</w:t>
      </w:r>
      <w:r>
        <w:rPr>
          <w:rFonts w:hint="default" w:ascii="Times New Roman" w:hAnsi="Times New Roman" w:eastAsia="宋体" w:cs="Times New Roman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装填</w:t>
      </w:r>
      <w:r>
        <w:rPr>
          <w:rFonts w:hint="default" w:ascii="Times New Roman" w:hAnsi="Times New Roman" w:eastAsia="宋体" w:cs="Times New Roman"/>
          <w:sz w:val="24"/>
          <w:szCs w:val="24"/>
        </w:rPr>
        <w:t>体积至少达到样品池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体积</w:t>
      </w:r>
      <w:r>
        <w:rPr>
          <w:rFonts w:hint="default" w:ascii="Times New Roman" w:hAnsi="Times New Roman" w:eastAsia="宋体" w:cs="Times New Roman"/>
          <w:sz w:val="24"/>
          <w:szCs w:val="24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三分之二</w:t>
      </w:r>
      <w:r>
        <w:rPr>
          <w:rFonts w:hint="default" w:ascii="Times New Roman" w:hAnsi="Times New Roman" w:eastAsia="宋体" w:cs="Times New Roman"/>
          <w:sz w:val="24"/>
          <w:szCs w:val="24"/>
        </w:rPr>
        <w:t>以上，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再</w:t>
      </w:r>
      <w:r>
        <w:rPr>
          <w:rFonts w:hint="default" w:ascii="Times New Roman" w:hAnsi="Times New Roman" w:eastAsia="宋体" w:cs="Times New Roman"/>
          <w:color w:val="auto"/>
          <w:sz w:val="24"/>
        </w:rPr>
        <w:t>按照仪器操作说明书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设置试验</w:t>
      </w:r>
      <w:r>
        <w:rPr>
          <w:rFonts w:hint="default" w:ascii="Times New Roman" w:hAnsi="Times New Roman" w:eastAsia="宋体" w:cs="Times New Roman"/>
          <w:color w:val="auto"/>
          <w:sz w:val="24"/>
        </w:rPr>
        <w:t>参数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并</w:t>
      </w:r>
      <w:r>
        <w:rPr>
          <w:rFonts w:hint="default" w:ascii="Times New Roman" w:hAnsi="Times New Roman" w:eastAsia="宋体" w:cs="Times New Roman"/>
          <w:color w:val="auto"/>
          <w:sz w:val="24"/>
        </w:rPr>
        <w:t>进行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测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量。每种标准物质重复装样测量3次，取3次测量值的算术平均值为测量结果。</w:t>
      </w:r>
    </w:p>
    <w:p>
      <w:pPr>
        <w:adjustRightInd w:val="0"/>
        <w:snapToGrid w:val="0"/>
        <w:spacing w:beforeLines="5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A.2  测量模型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center"/>
        <w:textAlignment w:val="auto"/>
        <w:rPr>
          <w:rFonts w:hint="default" w:ascii="Times New Roman" w:hAnsi="Times New Roman" w:eastAsia="宋体" w:cs="Times New Roman"/>
          <w:i/>
          <w:iCs/>
          <w:color w:val="000000"/>
          <w:kern w:val="0"/>
          <w:sz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24"/>
        </w:rPr>
        <w:instrText xml:space="preserve"> QUOTE </w:instrText>
      </w:r>
      <w:r>
        <w:rPr>
          <w:rFonts w:hint="default" w:ascii="Times New Roman" w:hAnsi="Times New Roman" w:eastAsia="宋体" w:cs="Times New Roman"/>
        </w:rPr>
        <w:drawing>
          <wp:inline distT="0" distB="0" distL="114300" distR="114300">
            <wp:extent cx="2510155" cy="172720"/>
            <wp:effectExtent l="0" t="0" r="0" b="17780"/>
            <wp:docPr id="9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8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015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</w:rPr>
        <w:instrText xml:space="preserve"> </w:instrTex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sz w:val="24"/>
        </w:rPr>
        <w:fldChar w:fldCharType="begin"/>
      </w:r>
      <w:r>
        <w:rPr>
          <w:rFonts w:hint="default" w:ascii="Times New Roman" w:hAnsi="Times New Roman" w:eastAsia="宋体" w:cs="Times New Roman"/>
          <w:sz w:val="24"/>
        </w:rPr>
        <w:instrText xml:space="preserve"> QUOTE </w:instrText>
      </w:r>
      <w:r>
        <w:rPr>
          <w:rFonts w:hint="default" w:ascii="Times New Roman" w:hAnsi="Times New Roman" w:eastAsia="宋体" w:cs="Times New Roman"/>
          <w:position w:val="-6"/>
        </w:rPr>
        <w:drawing>
          <wp:inline distT="0" distB="0" distL="114300" distR="114300">
            <wp:extent cx="52070" cy="198120"/>
            <wp:effectExtent l="0" t="0" r="0" b="0"/>
            <wp:docPr id="11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9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</w:rPr>
        <w:instrText xml:space="preserve"> </w:instrText>
      </w:r>
      <w:r>
        <w:rPr>
          <w:rFonts w:hint="default" w:ascii="Times New Roman" w:hAnsi="Times New Roman" w:eastAsia="宋体" w:cs="Times New Roman"/>
          <w:sz w:val="24"/>
        </w:rPr>
        <w:fldChar w:fldCharType="separate"/>
      </w:r>
      <w:r>
        <w:rPr>
          <w:rFonts w:hint="default" w:ascii="Times New Roman" w:hAnsi="Times New Roman" w:eastAsia="宋体" w:cs="Times New Roman"/>
          <w:position w:val="-6"/>
        </w:rPr>
        <w:drawing>
          <wp:inline distT="0" distB="0" distL="114300" distR="114300">
            <wp:extent cx="43180" cy="198120"/>
            <wp:effectExtent l="0" t="0" r="0" b="0"/>
            <wp:docPr id="1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0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</w:rPr>
        <w:fldChar w:fldCharType="end"/>
      </w:r>
      <w:r>
        <w:rPr>
          <w:rFonts w:hint="default" w:ascii="Times New Roman" w:hAnsi="Times New Roman" w:eastAsia="宋体" w:cs="Times New Roman"/>
          <w:sz w:val="24"/>
        </w:rPr>
        <w:fldChar w:fldCharType="begin"/>
      </w:r>
      <w:r>
        <w:rPr>
          <w:rFonts w:hint="default" w:ascii="Times New Roman" w:hAnsi="Times New Roman" w:eastAsia="宋体" w:cs="Times New Roman"/>
          <w:sz w:val="24"/>
        </w:rPr>
        <w:instrText xml:space="preserve"> QUOTE </w:instrText>
      </w:r>
      <w:r>
        <w:rPr>
          <w:rFonts w:hint="default" w:ascii="Times New Roman" w:hAnsi="Times New Roman" w:eastAsia="宋体" w:cs="Times New Roman"/>
          <w:position w:val="-20"/>
        </w:rPr>
        <w:drawing>
          <wp:inline distT="0" distB="0" distL="114300" distR="114300">
            <wp:extent cx="793750" cy="387985"/>
            <wp:effectExtent l="0" t="0" r="6350" b="0"/>
            <wp:docPr id="12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1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375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</w:rPr>
        <w:instrText xml:space="preserve"> </w:instrText>
      </w:r>
      <w:r>
        <w:rPr>
          <w:rFonts w:hint="default" w:ascii="Times New Roman" w:hAnsi="Times New Roman" w:eastAsia="宋体" w:cs="Times New Roman"/>
          <w:sz w:val="24"/>
        </w:rPr>
        <w:fldChar w:fldCharType="end"/>
      </w:r>
      <w:r>
        <w:rPr>
          <w:rFonts w:hint="default" w:ascii="Times New Roman" w:hAnsi="Times New Roman" w:eastAsia="宋体" w:cs="Times New Roman"/>
          <w:sz w:val="24"/>
        </w:rPr>
        <w:t xml:space="preserve">     </w: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end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         </w:t>
      </w:r>
      <w:r>
        <w:rPr>
          <w:rFonts w:hint="default" w:ascii="Times New Roman" w:hAnsi="Times New Roman" w:eastAsia="宋体" w:cs="Times New Roman"/>
          <w:position w:val="-30"/>
          <w:sz w:val="24"/>
        </w:rPr>
        <w:object>
          <v:shape id="_x0000_i1025" o:spt="75" type="#_x0000_t75" style="height:39.25pt;width:102.7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kern w:val="0"/>
          <w:sz w:val="24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kern w:val="0"/>
          <w:sz w:val="24"/>
          <w:lang w:val="en-US" w:eastAsia="zh-CN"/>
        </w:rPr>
        <w:t xml:space="preserve">                             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lang w:val="en-US" w:eastAsia="zh-CN"/>
        </w:rPr>
        <w:t>（A.1）</w:t>
      </w:r>
      <w:r>
        <w:rPr>
          <w:rFonts w:hint="default" w:ascii="Times New Roman" w:hAnsi="Times New Roman" w:eastAsia="宋体" w:cs="Times New Roman"/>
          <w:color w:val="FF0000"/>
          <w:kern w:val="0"/>
          <w:sz w:val="24"/>
          <w:lang w:val="en-US" w:eastAsia="zh-CN"/>
        </w:rPr>
        <w:t xml:space="preserve">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式中：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position w:val="-10"/>
          <w:sz w:val="24"/>
        </w:rPr>
        <w:object>
          <v:shape id="_x0000_i1026" o:spt="75" type="#_x0000_t75" style="height:16.95pt;width:19.4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</w:rPr>
        <w:t>—仪器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骨架密度测量的</w:t>
      </w:r>
      <w:r>
        <w:rPr>
          <w:rFonts w:hint="default" w:ascii="Times New Roman" w:hAnsi="Times New Roman" w:eastAsia="宋体" w:cs="Times New Roman"/>
          <w:sz w:val="24"/>
        </w:rPr>
        <w:t>示值误差，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%</w:t>
      </w:r>
      <w:r>
        <w:rPr>
          <w:rFonts w:hint="default" w:ascii="Times New Roman" w:hAnsi="Times New Roman" w:eastAsia="宋体" w:cs="Times New Roman"/>
          <w:sz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position w:val="-10"/>
          <w:sz w:val="24"/>
        </w:rPr>
        <w:object>
          <v:shape id="_x0000_i1027" o:spt="75" type="#_x0000_t75" style="height:19.85pt;width:12.5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</w:rPr>
        <w:t>—仪器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3次测量结果</w:t>
      </w:r>
      <w:r>
        <w:rPr>
          <w:rFonts w:hint="default" w:ascii="Times New Roman" w:hAnsi="Times New Roman" w:eastAsia="宋体" w:cs="Times New Roman"/>
          <w:sz w:val="24"/>
        </w:rPr>
        <w:t>平均值，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g/cm</w:t>
      </w:r>
      <w:r>
        <w:rPr>
          <w:rFonts w:hint="default" w:ascii="Times New Roman" w:hAnsi="Times New Roman" w:eastAsia="宋体" w:cs="Times New Roman"/>
          <w:sz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</w:rPr>
        <w:t>；</w:t>
      </w:r>
    </w:p>
    <w:p>
      <w:pPr>
        <w:autoSpaceDE w:val="0"/>
        <w:autoSpaceDN w:val="0"/>
        <w:adjustRightInd w:val="0"/>
        <w:spacing w:line="24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宋体" w:cs="Times New Roman"/>
          <w:position w:val="-12"/>
          <w:sz w:val="24"/>
        </w:rPr>
        <w:object>
          <v:shape id="_x0000_i1028" o:spt="75" type="#_x0000_t75" style="height:18.8pt;width:15.7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</w:rPr>
        <w:t>—标准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物质</w:t>
      </w:r>
      <w:r>
        <w:rPr>
          <w:rFonts w:hint="default" w:ascii="Times New Roman" w:hAnsi="Times New Roman" w:eastAsia="宋体" w:cs="Times New Roman"/>
          <w:sz w:val="24"/>
        </w:rPr>
        <w:t>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认定</w:t>
      </w:r>
      <w:r>
        <w:rPr>
          <w:rFonts w:hint="default" w:ascii="Times New Roman" w:hAnsi="Times New Roman" w:eastAsia="宋体" w:cs="Times New Roman"/>
          <w:sz w:val="24"/>
        </w:rPr>
        <w:t>值，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g/cm</w:t>
      </w:r>
      <w:r>
        <w:rPr>
          <w:rFonts w:hint="default" w:ascii="Times New Roman" w:hAnsi="Times New Roman" w:eastAsia="宋体" w:cs="Times New Roman"/>
          <w:sz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</w:rPr>
        <w:t>。</w:t>
      </w:r>
    </w:p>
    <w:p>
      <w:pPr>
        <w:adjustRightInd w:val="0"/>
        <w:snapToGrid w:val="0"/>
        <w:spacing w:beforeLines="50" w:line="288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A.3  合成标准不确定度</w:t>
      </w:r>
    </w:p>
    <w:p>
      <w:pPr>
        <w:spacing w:line="360" w:lineRule="auto"/>
        <w:ind w:firstLine="46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根据测量模型，因输入量间不相关，所以合成标准不确定度按公式(A.2)计算：</w:t>
      </w:r>
    </w:p>
    <w:p>
      <w:pPr>
        <w:spacing w:line="360" w:lineRule="auto"/>
        <w:ind w:firstLine="465"/>
        <w:jc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position w:val="-12"/>
          <w:sz w:val="24"/>
          <w:lang w:val="en-US" w:eastAsia="zh-CN"/>
        </w:rPr>
        <w:t xml:space="preserve">                  </w:t>
      </w:r>
      <w:r>
        <w:rPr>
          <w:rFonts w:hint="default" w:ascii="Times New Roman" w:hAnsi="Times New Roman" w:eastAsia="宋体" w:cs="Times New Roman"/>
          <w:position w:val="-12"/>
          <w:sz w:val="24"/>
        </w:rPr>
        <w:object>
          <v:shape id="_x0000_i1029" o:spt="75" type="#_x0000_t75" style="height:21.2pt;width:146.4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position w:val="-12"/>
          <w:sz w:val="24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lang w:val="en-US" w:eastAsia="zh-CN"/>
        </w:rPr>
        <w:t>（A.2）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</w:rPr>
        <w:t>其中</w:t>
      </w:r>
      <w:r>
        <w:rPr>
          <w:rFonts w:hint="default" w:ascii="Times New Roman" w:hAnsi="Times New Roman" w:eastAsia="宋体" w:cs="Times New Roman"/>
          <w:sz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灵敏系数为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position w:val="-30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 xml:space="preserve">             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position w:val="-30"/>
          <w:sz w:val="24"/>
        </w:rPr>
        <w:object>
          <v:shape id="_x0000_i1030" o:spt="75" type="#_x0000_t75" style="height:34.4pt;width:75.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</w:rPr>
        <w:t>，</w:t>
      </w:r>
      <w:r>
        <w:rPr>
          <w:rFonts w:hint="default" w:ascii="Times New Roman" w:hAnsi="Times New Roman" w:eastAsia="宋体" w:cs="Times New Roman"/>
          <w:position w:val="-30"/>
          <w:sz w:val="24"/>
        </w:rPr>
        <w:object>
          <v:shape id="_x0000_i1031" o:spt="75" type="#_x0000_t75" style="height:34.75pt;width:82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position w:val="-30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将灵敏系数带入公式A.2中，则合成标准不确定度为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position w:val="-12"/>
          <w:sz w:val="24"/>
          <w:lang w:eastAsia="zh-CN"/>
        </w:rPr>
      </w:pPr>
      <w:r>
        <w:rPr>
          <w:rFonts w:hint="default" w:ascii="Times New Roman" w:hAnsi="Times New Roman" w:eastAsia="宋体" w:cs="Times New Roman"/>
          <w:position w:val="-12"/>
          <w:sz w:val="24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  <w:position w:val="-34"/>
          <w:sz w:val="24"/>
          <w:lang w:eastAsia="zh-CN"/>
        </w:rPr>
        <w:object>
          <v:shape id="_x0000_i1032" o:spt="75" type="#_x0000_t75" style="height:42pt;width:2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position w:val="-12"/>
          <w:sz w:val="24"/>
          <w:lang w:val="en-US" w:eastAsia="zh-CN"/>
        </w:rPr>
        <w:t xml:space="preserve">                    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lang w:val="en-US" w:eastAsia="zh-CN"/>
        </w:rPr>
        <w:t>（A.3）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position w:val="-12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4"/>
          <w:lang w:val="en-US" w:eastAsia="zh-CN"/>
        </w:rPr>
        <w:t xml:space="preserve">当示值误差较小时，仪器测量平均值 </w:t>
      </w:r>
      <w:r>
        <w:rPr>
          <w:rFonts w:hint="default" w:ascii="Times New Roman" w:hAnsi="Times New Roman" w:eastAsia="宋体" w:cs="Times New Roman"/>
          <w:position w:val="-10"/>
          <w:sz w:val="24"/>
          <w:szCs w:val="24"/>
          <w:lang w:val="en-US" w:eastAsia="zh-CN"/>
        </w:rPr>
        <w:object>
          <v:shape id="_x0000_i1033" o:spt="75" type="#_x0000_t75" style="height:19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kern w:val="0"/>
          <w:sz w:val="24"/>
          <w:lang w:val="en-US" w:eastAsia="zh-CN"/>
        </w:rPr>
        <w:t xml:space="preserve"> 和标准物质认定值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  <w:lang w:val="en-US" w:eastAsia="zh-CN"/>
        </w:rPr>
        <w:object>
          <v:shape id="_x0000_i1034" o:spt="75" type="#_x0000_t75" style="height:18pt;width:1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kern w:val="0"/>
          <w:sz w:val="24"/>
          <w:lang w:val="en-US" w:eastAsia="zh-CN"/>
        </w:rPr>
        <w:t>相近，可近似认为：</w:t>
      </w:r>
      <w:r>
        <w:rPr>
          <w:rFonts w:hint="default" w:ascii="Times New Roman" w:hAnsi="Times New Roman" w:eastAsia="宋体" w:cs="Times New Roman"/>
          <w:b w:val="0"/>
          <w:bCs/>
          <w:position w:val="-12"/>
          <w:lang w:eastAsia="zh-CN"/>
        </w:rPr>
        <w:object>
          <v:shape id="_x0000_i1035" o:spt="75" type="#_x0000_t75" style="height:20pt;width:3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kern w:val="0"/>
          <w:sz w:val="24"/>
          <w:lang w:val="en-US" w:eastAsia="zh-CN"/>
        </w:rPr>
        <w:t>。那么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position w:val="-12"/>
          <w:sz w:val="24"/>
          <w:lang w:eastAsia="zh-CN"/>
        </w:rPr>
      </w:pPr>
      <w:r>
        <w:rPr>
          <w:rFonts w:hint="default" w:ascii="Times New Roman" w:hAnsi="Times New Roman" w:eastAsia="宋体" w:cs="Times New Roman"/>
          <w:position w:val="-30"/>
          <w:sz w:val="24"/>
          <w:lang w:eastAsia="zh-CN"/>
        </w:rPr>
        <w:object>
          <v:shape id="_x0000_i1036" o:spt="75" type="#_x0000_t75" style="height:35pt;width:59.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</w:rPr>
        <w:t>，</w:t>
      </w:r>
      <w:r>
        <w:rPr>
          <w:rFonts w:hint="default" w:ascii="Times New Roman" w:hAnsi="Times New Roman" w:eastAsia="宋体" w:cs="Times New Roman"/>
          <w:position w:val="-32"/>
          <w:sz w:val="24"/>
          <w:lang w:eastAsia="zh-CN"/>
        </w:rPr>
        <w:object>
          <v:shape id="_x0000_i1037" o:spt="75" type="#_x0000_t75" style="height:37pt;width:95.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再将灵敏系数带入公式A.3中，则合成标准不确定度可表示为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position w:val="-12"/>
          <w:sz w:val="24"/>
          <w:lang w:eastAsia="zh-CN"/>
        </w:rPr>
      </w:pPr>
      <w:r>
        <w:rPr>
          <w:rFonts w:hint="default" w:ascii="Times New Roman" w:hAnsi="Times New Roman" w:eastAsia="宋体" w:cs="Times New Roman"/>
          <w:position w:val="-12"/>
          <w:sz w:val="24"/>
          <w:lang w:val="en-US" w:eastAsia="zh-CN"/>
        </w:rPr>
        <w:t xml:space="preserve">                     </w:t>
      </w:r>
      <w:r>
        <w:rPr>
          <w:rFonts w:hint="default" w:ascii="Times New Roman" w:hAnsi="Times New Roman" w:eastAsia="宋体" w:cs="Times New Roman"/>
          <w:position w:val="-14"/>
          <w:sz w:val="24"/>
          <w:lang w:eastAsia="zh-CN"/>
        </w:rPr>
        <w:object>
          <v:shape id="_x0000_i1038" o:spt="75" type="#_x0000_t75" style="height:24pt;width:144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position w:val="-12"/>
          <w:sz w:val="24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lang w:val="en-US" w:eastAsia="zh-CN"/>
        </w:rPr>
        <w:t>（A.4）</w:t>
      </w:r>
    </w:p>
    <w:p>
      <w:pPr>
        <w:adjustRightInd w:val="0"/>
        <w:snapToGrid w:val="0"/>
        <w:spacing w:beforeLines="50"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  <w:szCs w:val="24"/>
        </w:rPr>
        <w:t>不确定度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</w:rPr>
        <w:t>输入量引入的标准不确定度，主要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来源于以下两个方面：</w:t>
      </w:r>
      <w:r>
        <w:rPr>
          <w:rFonts w:hint="default" w:ascii="Times New Roman" w:hAnsi="Times New Roman" w:eastAsia="宋体" w:cs="Times New Roman"/>
          <w:sz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</w:rPr>
        <w:t>测量重复性引入的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sz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sz w:val="24"/>
        </w:rPr>
        <w:t>标准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物质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不确定度。</w:t>
      </w:r>
    </w:p>
    <w:p>
      <w:pPr>
        <w:spacing w:line="360" w:lineRule="auto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.1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测量重复性</w:t>
      </w:r>
      <w:r>
        <w:rPr>
          <w:rFonts w:hint="default" w:ascii="Times New Roman" w:hAnsi="Times New Roman" w:eastAsia="宋体" w:cs="Times New Roman"/>
          <w:sz w:val="24"/>
          <w:szCs w:val="24"/>
        </w:rPr>
        <w:t>引入的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  <w:szCs w:val="24"/>
        </w:rPr>
        <w:t>不确定度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  <w:lang w:val="en-US" w:eastAsia="zh-CN"/>
        </w:rPr>
        <w:object>
          <v:shape id="_x0000_i1039" o:spt="75" type="#_x0000_t75" style="height:20pt;width:3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</w:rPr>
        <w:t>测量重复性引入的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不确定度，采用A类方法进行评定。</w:t>
      </w:r>
      <w:r>
        <w:rPr>
          <w:rFonts w:hint="default" w:ascii="Times New Roman" w:hAnsi="Times New Roman" w:eastAsia="宋体" w:cs="Times New Roman"/>
          <w:sz w:val="24"/>
          <w:szCs w:val="24"/>
          <w:shd w:val="clear" w:color="auto" w:fill="auto"/>
          <w:lang w:val="en-US" w:eastAsia="zh-CN"/>
        </w:rPr>
        <w:t>采用骨架密度标准物质</w:t>
      </w:r>
      <w:r>
        <w:rPr>
          <w:rFonts w:hint="default" w:ascii="Times New Roman" w:hAnsi="Times New Roman" w:eastAsia="宋体" w:cs="Times New Roman"/>
          <w:sz w:val="24"/>
          <w:szCs w:val="24"/>
        </w:rPr>
        <w:t>对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美国Quantachrome骨架密度分析仪</w:t>
      </w:r>
      <w:r>
        <w:rPr>
          <w:rFonts w:hint="default" w:ascii="Times New Roman" w:hAnsi="Times New Roman" w:eastAsia="宋体" w:cs="Times New Roman"/>
          <w:sz w:val="24"/>
          <w:szCs w:val="24"/>
        </w:rPr>
        <w:t>连续测量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</w:rPr>
        <w:t>次，数据列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于</w:t>
      </w:r>
      <w:r>
        <w:rPr>
          <w:rFonts w:hint="default" w:ascii="Times New Roman" w:hAnsi="Times New Roman" w:eastAsia="宋体" w:cs="Times New Roman"/>
          <w:sz w:val="24"/>
        </w:rPr>
        <w:t>表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A.1中。根据贝塞尔公式，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仪器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单次测量的实验标准差</w:t>
      </w:r>
      <w:r>
        <w:rPr>
          <w:rFonts w:hint="default" w:ascii="Times New Roman" w:hAnsi="Times New Roman" w:eastAsia="宋体" w:cs="Times New Roman"/>
          <w:i/>
          <w:iCs/>
          <w:sz w:val="24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4"/>
          <w:lang w:val="en-US" w:eastAsia="zh-CN"/>
        </w:rPr>
        <w:t>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tLeast"/>
        <w:ind w:firstLine="448"/>
        <w:textAlignment w:val="auto"/>
        <w:rPr>
          <w:rFonts w:hint="default" w:ascii="Times New Roman" w:hAnsi="Times New Roman" w:eastAsia="宋体" w:cs="Times New Roman"/>
          <w:kern w:val="0"/>
          <w:sz w:val="24"/>
          <w:szCs w:val="21"/>
        </w:rPr>
      </w:pPr>
      <w:r>
        <w:rPr>
          <w:rFonts w:hint="default" w:ascii="Times New Roman" w:hAnsi="Times New Roman" w:eastAsia="宋体" w:cs="Times New Roman"/>
          <w:position w:val="-26"/>
          <w:sz w:val="24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宋体" w:cs="Times New Roman"/>
          <w:position w:val="-26"/>
          <w:sz w:val="24"/>
          <w:lang w:val="en-US" w:eastAsia="zh-CN"/>
        </w:rPr>
        <w:object>
          <v:shape id="_x0000_i1040" o:spt="75" type="#_x0000_t75" style="height:52pt;width:8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position w:val="-26"/>
          <w:sz w:val="24"/>
          <w:lang w:val="en-US" w:eastAsia="zh-CN"/>
        </w:rPr>
        <w:tab/>
      </w:r>
      <w:r>
        <w:rPr>
          <w:rFonts w:hint="default" w:ascii="Times New Roman" w:hAnsi="Times New Roman" w:eastAsia="宋体" w:cs="Times New Roman"/>
          <w:position w:val="-26"/>
          <w:sz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tLeast"/>
        <w:ind w:firstLine="448"/>
        <w:textAlignment w:val="auto"/>
        <w:rPr>
          <w:rFonts w:hint="default" w:ascii="Times New Roman" w:hAnsi="Times New Roman" w:eastAsia="宋体" w:cs="Times New Roman"/>
          <w:kern w:val="0"/>
          <w:sz w:val="24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1"/>
        </w:rPr>
        <w:t>实际测量中，在重复性条件下测量</w:t>
      </w:r>
      <w:r>
        <w:rPr>
          <w:rFonts w:hint="default" w:ascii="Times New Roman" w:hAnsi="Times New Roman" w:eastAsia="宋体" w:cs="Times New Roman"/>
          <w:kern w:val="0"/>
          <w:sz w:val="24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4"/>
          <w:szCs w:val="21"/>
        </w:rPr>
        <w:t>次，以</w:t>
      </w:r>
      <w:r>
        <w:rPr>
          <w:rFonts w:hint="default" w:ascii="Times New Roman" w:hAnsi="Times New Roman" w:eastAsia="宋体" w:cs="Times New Roman"/>
          <w:kern w:val="0"/>
          <w:sz w:val="24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4"/>
          <w:szCs w:val="21"/>
        </w:rPr>
        <w:t>次测量值的算术平均值为测量结果，则测量重复性引入的</w:t>
      </w:r>
      <w:r>
        <w:rPr>
          <w:rFonts w:hint="default" w:ascii="Times New Roman" w:hAnsi="Times New Roman" w:eastAsia="宋体" w:cs="Times New Roman"/>
          <w:kern w:val="0"/>
          <w:sz w:val="24"/>
          <w:szCs w:val="21"/>
          <w:lang w:val="en-US" w:eastAsia="zh-CN"/>
        </w:rPr>
        <w:t>相对</w:t>
      </w:r>
      <w:r>
        <w:rPr>
          <w:rFonts w:hint="eastAsia" w:ascii="Times New Roman" w:hAnsi="Times New Roman" w:eastAsia="宋体" w:cs="Times New Roman"/>
          <w:kern w:val="0"/>
          <w:sz w:val="24"/>
          <w:szCs w:val="21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kern w:val="0"/>
          <w:sz w:val="24"/>
          <w:szCs w:val="21"/>
        </w:rPr>
        <w:t>不确定度</w:t>
      </w:r>
      <w:r>
        <w:rPr>
          <w:rFonts w:hint="default" w:ascii="Times New Roman" w:hAnsi="Times New Roman" w:eastAsia="宋体" w:cs="Times New Roman"/>
          <w:position w:val="-30"/>
          <w:sz w:val="24"/>
        </w:rPr>
        <w:object>
          <v:shape id="_x0000_i1041" o:spt="75" type="#_x0000_t75" style="height:35.5pt;width:120.6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kern w:val="0"/>
          <w:sz w:val="24"/>
          <w:szCs w:val="21"/>
        </w:rPr>
        <w:t>，</w:t>
      </w:r>
      <w:r>
        <w:rPr>
          <w:rFonts w:hint="default" w:ascii="Times New Roman" w:hAnsi="Times New Roman" w:eastAsia="宋体" w:cs="Times New Roman"/>
          <w:kern w:val="0"/>
          <w:sz w:val="24"/>
          <w:szCs w:val="21"/>
          <w:lang w:val="en-US" w:eastAsia="zh-CN"/>
        </w:rPr>
        <w:t>相关</w:t>
      </w:r>
      <w:r>
        <w:rPr>
          <w:rFonts w:hint="default" w:ascii="Times New Roman" w:hAnsi="Times New Roman" w:eastAsia="宋体" w:cs="Times New Roman"/>
          <w:kern w:val="0"/>
          <w:sz w:val="24"/>
          <w:szCs w:val="21"/>
        </w:rPr>
        <w:t>数据见表</w:t>
      </w:r>
      <w:r>
        <w:rPr>
          <w:rFonts w:hint="default" w:ascii="Times New Roman" w:hAnsi="Times New Roman" w:eastAsia="宋体" w:cs="Times New Roman"/>
          <w:kern w:val="0"/>
          <w:sz w:val="24"/>
          <w:szCs w:val="21"/>
          <w:lang w:val="en-US" w:eastAsia="zh-CN"/>
        </w:rPr>
        <w:t>A.1。</w:t>
      </w:r>
    </w:p>
    <w:p>
      <w:pPr>
        <w:spacing w:line="240" w:lineRule="auto"/>
        <w:jc w:val="center"/>
        <w:rPr>
          <w:rFonts w:hint="default"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表A.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Cs w:val="21"/>
        </w:rPr>
        <w:t>次重复测量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值</w:t>
      </w:r>
      <w:r>
        <w:rPr>
          <w:rFonts w:hint="default" w:ascii="Times New Roman" w:hAnsi="Times New Roman" w:eastAsia="宋体" w:cs="Times New Roman"/>
          <w:szCs w:val="21"/>
        </w:rPr>
        <w:t>及其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引入的</w:t>
      </w:r>
      <w:r>
        <w:rPr>
          <w:rFonts w:hint="default" w:ascii="Times New Roman" w:hAnsi="Times New Roman" w:eastAsia="宋体" w:cs="Times New Roman"/>
          <w:szCs w:val="21"/>
        </w:rPr>
        <w:t>标准不确定度分量</w:t>
      </w:r>
    </w:p>
    <w:tbl>
      <w:tblPr>
        <w:tblStyle w:val="24"/>
        <w:tblW w:w="9015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856"/>
        <w:gridCol w:w="856"/>
        <w:gridCol w:w="856"/>
        <w:gridCol w:w="856"/>
        <w:gridCol w:w="856"/>
        <w:gridCol w:w="857"/>
        <w:gridCol w:w="1004"/>
        <w:gridCol w:w="1004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认定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值(g/cm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)</w:t>
            </w:r>
          </w:p>
        </w:tc>
        <w:tc>
          <w:tcPr>
            <w:tcW w:w="5137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仪器示值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(g/cm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)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平均值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(g/cm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)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标准差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(g/cm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)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position w:val="-12"/>
                <w:sz w:val="21"/>
                <w:szCs w:val="21"/>
                <w:lang w:val="en-US" w:eastAsia="zh-CN"/>
              </w:rPr>
              <w:object>
                <v:shape id="_x0000_i1042" o:spt="75" type="#_x0000_t75" style="height:14.6pt;width:25.55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KSEE3" ShapeID="_x0000_i1042" DrawAspect="Content" ObjectID="_1468075742" r:id="rId43">
                  <o:LockedField>false</o:LockedField>
                </o:OLEObject>
              </w:objec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(%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0.9026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0.9042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0.9012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0.9122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0.8999 </w:t>
            </w:r>
          </w:p>
        </w:tc>
        <w:tc>
          <w:tcPr>
            <w:tcW w:w="85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0.9004 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0.903 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0.0046 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0.29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2.6427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2.6325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2.6402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2.6547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2.6356</w:t>
            </w:r>
          </w:p>
        </w:tc>
        <w:tc>
          <w:tcPr>
            <w:tcW w:w="85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2.6572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2.644 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0.0101 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3.2073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3.1964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3.1951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3.2259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3.1920 </w:t>
            </w:r>
          </w:p>
        </w:tc>
        <w:tc>
          <w:tcPr>
            <w:tcW w:w="85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3.2008 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3.203 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0.0124 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6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7.2510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7.2338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7.2402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7.2966 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7.2746 </w:t>
            </w:r>
          </w:p>
        </w:tc>
        <w:tc>
          <w:tcPr>
            <w:tcW w:w="85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7.2322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7.2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8 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0.21</w:t>
            </w:r>
          </w:p>
        </w:tc>
      </w:tr>
    </w:tbl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由于</w:t>
      </w:r>
      <w:r>
        <w:rPr>
          <w:rFonts w:hint="default" w:ascii="Times New Roman" w:hAnsi="Times New Roman" w:eastAsia="宋体" w:cs="Times New Roman"/>
          <w:color w:val="000000"/>
          <w:sz w:val="24"/>
        </w:rPr>
        <w:t>仪器分辨力引入的</w:t>
      </w:r>
      <w:r>
        <w:rPr>
          <w:rFonts w:hint="default" w:ascii="Times New Roman" w:hAnsi="Times New Roman" w:eastAsia="宋体" w:cs="Times New Roman"/>
          <w:sz w:val="24"/>
        </w:rPr>
        <w:t>标准不确定度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为0.29</w:t>
      </w:r>
      <w:r>
        <w:rPr>
          <w:rFonts w:hint="default" w:ascii="Times New Roman" w:hAnsi="Times New Roman" w:eastAsia="宋体" w:cs="Times New Roman"/>
          <w:i/>
          <w:iCs/>
          <w:sz w:val="24"/>
          <w:lang w:val="en-US" w:eastAsia="zh-CN"/>
        </w:rPr>
        <w:sym w:font="Symbol" w:char="0064"/>
      </w:r>
      <w:r>
        <w:rPr>
          <w:rFonts w:hint="default" w:ascii="Times New Roman" w:hAnsi="Times New Roman" w:eastAsia="宋体" w:cs="Times New Roman"/>
          <w:i/>
          <w:iCs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sz w:val="24"/>
          <w:szCs w:val="24"/>
          <w:lang w:val="en-US" w:eastAsia="zh-CN"/>
        </w:rPr>
        <w:t>= 0.000029 g/cm</w:t>
      </w:r>
      <w:r>
        <w:rPr>
          <w:rFonts w:hint="default" w:ascii="Times New Roman" w:hAnsi="Times New Roman" w:eastAsia="宋体" w:cs="Times New Roman"/>
          <w:i w:val="0"/>
          <w:iCs w:val="0"/>
          <w:sz w:val="24"/>
          <w:szCs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/>
          <w:iCs/>
          <w:sz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4"/>
        </w:rPr>
        <w:t>远小于仪器测量重复性</w:t>
      </w:r>
      <w:r>
        <w:rPr>
          <w:rFonts w:hint="default" w:ascii="Times New Roman" w:hAnsi="Times New Roman" w:eastAsia="宋体" w:cs="Times New Roman"/>
          <w:color w:val="000000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</w:rPr>
        <w:t>标准不确定度，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故</w:t>
      </w:r>
      <w:r>
        <w:rPr>
          <w:rFonts w:hint="default" w:ascii="Times New Roman" w:hAnsi="Times New Roman" w:eastAsia="宋体" w:cs="Times New Roman"/>
          <w:sz w:val="24"/>
        </w:rPr>
        <w:t>可以忽略不计</w:t>
      </w:r>
      <w:r>
        <w:rPr>
          <w:rFonts w:hint="default" w:ascii="Times New Roman" w:hAnsi="Times New Roman" w:eastAsia="宋体" w:cs="Times New Roman"/>
          <w:color w:val="000000"/>
          <w:sz w:val="24"/>
        </w:rPr>
        <w:t>。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.2  </w:t>
      </w:r>
      <w:r>
        <w:rPr>
          <w:rFonts w:hint="default" w:ascii="Times New Roman" w:hAnsi="Times New Roman" w:eastAsia="宋体" w:cs="Times New Roman"/>
          <w:sz w:val="24"/>
        </w:rPr>
        <w:t>标准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物质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position w:val="-12"/>
          <w:sz w:val="24"/>
        </w:rPr>
        <w:object>
          <v:shape id="_x0000_i1043" o:spt="75" type="#_x0000_t75" style="height:18.8pt;width:40.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</w:rPr>
        <w:t>标准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物质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sz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主要来源于：（1）</w:t>
      </w:r>
      <w:r>
        <w:rPr>
          <w:rFonts w:hint="default" w:ascii="Times New Roman" w:hAnsi="Times New Roman" w:eastAsia="宋体" w:cs="Times New Roman"/>
          <w:sz w:val="24"/>
        </w:rPr>
        <w:t>标准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物质定值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sz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（2）电子天平称量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sz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（3）标准球校准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不确定度。</w:t>
      </w:r>
    </w:p>
    <w:p>
      <w:pPr>
        <w:adjustRightInd w:val="0"/>
        <w:snapToGrid w:val="0"/>
        <w:spacing w:line="360" w:lineRule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</w:rPr>
        <w:t>.2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.1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default" w:ascii="Times New Roman" w:hAnsi="Times New Roman" w:eastAsia="宋体" w:cs="Times New Roman"/>
          <w:sz w:val="24"/>
        </w:rPr>
        <w:t>标准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物质定值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position w:val="-12"/>
          <w:sz w:val="24"/>
        </w:rPr>
        <w:object>
          <v:shape id="_x0000_i1044" o:spt="75" type="#_x0000_t75" style="height:17.8pt;width:42.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</w:rPr>
        <w:t>标准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物质定值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不确定度，采用B类方法进行评定。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骨架密度标准物质的</w:t>
      </w:r>
      <w:r>
        <w:rPr>
          <w:rFonts w:hint="default" w:ascii="Times New Roman" w:hAnsi="Times New Roman" w:eastAsia="宋体" w:cs="Times New Roman"/>
          <w:sz w:val="24"/>
        </w:rPr>
        <w:t>扩展不确定度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为</w:t>
      </w:r>
      <w:r>
        <w:rPr>
          <w:rFonts w:hint="default" w:ascii="Times New Roman" w:hAnsi="Times New Roman" w:eastAsia="宋体" w:cs="Times New Roman"/>
          <w:i/>
          <w:sz w:val="24"/>
        </w:rPr>
        <w:t>U</w:t>
      </w:r>
      <w:r>
        <w:rPr>
          <w:rFonts w:hint="eastAsia" w:ascii="Times New Roman" w:hAnsi="Times New Roman" w:eastAsia="宋体" w:cs="Times New Roman"/>
          <w:i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/>
          <w:sz w:val="24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i/>
          <w:sz w:val="24"/>
        </w:rPr>
        <w:t>k</w:t>
      </w:r>
      <w:r>
        <w:rPr>
          <w:rFonts w:hint="default" w:ascii="Times New Roman" w:hAnsi="Times New Roman" w:eastAsia="宋体" w:cs="Times New Roman"/>
          <w:sz w:val="24"/>
        </w:rPr>
        <w:t>=2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4"/>
        </w:rPr>
        <w:t>，则标准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物质定值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相对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为</w:t>
      </w:r>
    </w:p>
    <w:p>
      <w:pPr>
        <w:adjustRightInd w:val="0"/>
        <w:snapToGrid w:val="0"/>
        <w:spacing w:line="360" w:lineRule="auto"/>
        <w:ind w:firstLine="2160" w:firstLineChars="900"/>
        <w:rPr>
          <w:rFonts w:hint="default" w:ascii="Times New Roman" w:hAnsi="Times New Roman" w:eastAsia="宋体" w:cs="Times New Roman"/>
          <w:position w:val="-24"/>
          <w:sz w:val="24"/>
        </w:rPr>
      </w:pPr>
      <w:r>
        <w:rPr>
          <w:rFonts w:hint="default" w:ascii="Times New Roman" w:hAnsi="Times New Roman" w:eastAsia="宋体" w:cs="Times New Roman"/>
          <w:position w:val="-30"/>
          <w:sz w:val="24"/>
        </w:rPr>
        <w:object>
          <v:shape id="_x0000_i1045" o:spt="75" type="#_x0000_t75" style="height:33.6pt;width:120.6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</w:p>
    <w:p>
      <w:pPr>
        <w:spacing w:line="240" w:lineRule="auto"/>
        <w:jc w:val="center"/>
        <w:rPr>
          <w:rFonts w:hint="default" w:ascii="Times New Roman" w:hAnsi="Times New Roman" w:eastAsia="宋体" w:cs="Times New Roman"/>
          <w:szCs w:val="21"/>
        </w:rPr>
      </w:pPr>
    </w:p>
    <w:p>
      <w:pPr>
        <w:spacing w:line="240" w:lineRule="auto"/>
        <w:jc w:val="center"/>
        <w:rPr>
          <w:rFonts w:hint="default" w:ascii="Times New Roman" w:hAnsi="Times New Roman" w:eastAsia="宋体" w:cs="Times New Roman"/>
          <w:szCs w:val="21"/>
        </w:rPr>
      </w:pPr>
    </w:p>
    <w:p>
      <w:pPr>
        <w:spacing w:line="240" w:lineRule="auto"/>
        <w:jc w:val="center"/>
        <w:rPr>
          <w:rFonts w:hint="default" w:ascii="Times New Roman" w:hAnsi="Times New Roman" w:eastAsia="宋体" w:cs="Times New Roman"/>
          <w:position w:val="-24"/>
          <w:sz w:val="24"/>
        </w:rPr>
      </w:pPr>
      <w:r>
        <w:rPr>
          <w:rFonts w:hint="default" w:ascii="Times New Roman" w:hAnsi="Times New Roman" w:eastAsia="宋体" w:cs="Times New Roman"/>
          <w:szCs w:val="21"/>
        </w:rPr>
        <w:t>表A.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标准物质定值引入的</w:t>
      </w:r>
      <w:r>
        <w:rPr>
          <w:rFonts w:hint="default" w:ascii="Times New Roman" w:hAnsi="Times New Roman" w:eastAsia="宋体" w:cs="Times New Roman"/>
          <w:szCs w:val="21"/>
        </w:rPr>
        <w:t>标准不确定度分量</w:t>
      </w:r>
    </w:p>
    <w:tbl>
      <w:tblPr>
        <w:tblStyle w:val="24"/>
        <w:tblW w:w="9015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3005"/>
        <w:gridCol w:w="3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认定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值(g/cm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扩展不确定度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lang w:val="en-US" w:eastAsia="zh-CN"/>
              </w:rPr>
              <w:t>U (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object>
                <v:shape id="_x0000_i1046" o:spt="75" type="#_x0000_t75" style="height:15.5pt;width:37.3pt;" o:ole="t" filled="f" o:preferrelative="t" stroked="f" coordsize="21600,21600">
                  <v:path/>
                  <v:fill on="f" focussize="0,0"/>
                  <v:stroke on="f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5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0.020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0.042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0.080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0.83%</w:t>
            </w:r>
          </w:p>
        </w:tc>
      </w:tr>
    </w:tbl>
    <w:p>
      <w:pPr>
        <w:adjustRightInd w:val="0"/>
        <w:snapToGrid w:val="0"/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</w:rPr>
        <w:t>.2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.2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电子天平称量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position w:val="-12"/>
          <w:sz w:val="24"/>
        </w:rPr>
        <w:object>
          <v:shape id="_x0000_i1047" o:spt="75" type="#_x0000_t75" style="height:17.8pt;width:44.8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电子天平称量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不确定度，采用B类方法进行评定。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电子天平称量标准物质的质量约为</w:t>
      </w:r>
      <w:r>
        <w:rPr>
          <w:rFonts w:hint="eastAsia" w:ascii="Times New Roman" w:hAnsi="Times New Roman" w:eastAsia="宋体" w:cs="Times New Roman"/>
          <w:i/>
          <w:iCs/>
          <w:sz w:val="24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 xml:space="preserve"> g，最大允许误差为</w:t>
      </w:r>
      <w:r>
        <w:rPr>
          <w:rFonts w:hint="eastAsia" w:ascii="宋体" w:hAnsi="宋体" w:eastAsia="宋体" w:cs="宋体"/>
          <w:sz w:val="24"/>
          <w:lang w:val="en-US" w:eastAsia="zh-CN"/>
        </w:rPr>
        <w:t>±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0.0005 g，按均匀分布</w:t>
      </w:r>
      <w:r>
        <w:rPr>
          <w:rFonts w:hint="default" w:ascii="Times New Roman" w:hAnsi="Times New Roman" w:eastAsia="宋体" w:cs="Times New Roman"/>
          <w:sz w:val="24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则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电子天平称量引入的相对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为</w:t>
      </w:r>
    </w:p>
    <w:p>
      <w:pPr>
        <w:adjustRightInd w:val="0"/>
        <w:snapToGrid w:val="0"/>
        <w:spacing w:line="360" w:lineRule="auto"/>
        <w:ind w:firstLine="2160" w:firstLineChars="900"/>
        <w:rPr>
          <w:rFonts w:hint="default" w:ascii="Times New Roman" w:hAnsi="Times New Roman" w:eastAsia="宋体" w:cs="Times New Roman"/>
          <w:position w:val="-24"/>
          <w:sz w:val="24"/>
        </w:rPr>
      </w:pPr>
      <w:r>
        <w:rPr>
          <w:rFonts w:hint="default" w:ascii="Times New Roman" w:hAnsi="Times New Roman" w:eastAsia="宋体" w:cs="Times New Roman"/>
          <w:position w:val="-28"/>
          <w:sz w:val="24"/>
        </w:rPr>
        <w:object>
          <v:shape id="_x0000_i1048" o:spt="75" type="#_x0000_t75" style="height:32.6pt;width:125.5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</w:p>
    <w:p>
      <w:pPr>
        <w:adjustRightInd w:val="0"/>
        <w:snapToGrid w:val="0"/>
        <w:spacing w:line="240" w:lineRule="auto"/>
        <w:jc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表A.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电子天平称量引入的</w:t>
      </w:r>
      <w:r>
        <w:rPr>
          <w:rFonts w:hint="default" w:ascii="Times New Roman" w:hAnsi="Times New Roman" w:eastAsia="宋体" w:cs="Times New Roman"/>
          <w:szCs w:val="21"/>
        </w:rPr>
        <w:t>标准不确定度分量</w:t>
      </w:r>
    </w:p>
    <w:tbl>
      <w:tblPr>
        <w:tblStyle w:val="24"/>
        <w:tblW w:w="9015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3005"/>
        <w:gridCol w:w="3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认定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值(g/cm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质量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sz w:val="21"/>
                <w:szCs w:val="21"/>
                <w:lang w:val="en-US" w:eastAsia="zh-CN"/>
              </w:rPr>
              <w:t xml:space="preserve"> (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g)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position w:val="-12"/>
                <w:sz w:val="21"/>
                <w:szCs w:val="21"/>
                <w:lang w:val="en-US" w:eastAsia="zh-CN"/>
              </w:rPr>
              <w:object>
                <v:shape id="_x0000_i1049" o:spt="75" type="#_x0000_t75" style="height:15.5pt;width:39.1pt;" o:ole="t" filled="f" o:preferrelative="t" stroked="f" coordsize="21600,21600">
                  <v:path/>
                  <v:fill on="f" focussize="0,0"/>
                  <v:stroke on="f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5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0.001%</w:t>
            </w:r>
          </w:p>
        </w:tc>
      </w:tr>
    </w:tbl>
    <w:p>
      <w:pPr>
        <w:adjustRightInd w:val="0"/>
        <w:snapToGrid w:val="0"/>
        <w:spacing w:line="360" w:lineRule="auto"/>
        <w:rPr>
          <w:rFonts w:hint="default"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360" w:lineRule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</w:rPr>
        <w:t>.2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.3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标准球校准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position w:val="-12"/>
          <w:sz w:val="24"/>
        </w:rPr>
        <w:object>
          <v:shape id="_x0000_i1050" o:spt="75" type="#_x0000_t75" style="height:17.8pt;width:43.8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标准球校准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不确定度，采用B类方法进行评定。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标准钢球的体积为（7.0699±0.0023）cm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按均匀分布</w:t>
      </w:r>
      <w:r>
        <w:rPr>
          <w:rFonts w:hint="default" w:ascii="Times New Roman" w:hAnsi="Times New Roman" w:eastAsia="宋体" w:cs="Times New Roman"/>
          <w:sz w:val="24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则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标准球校准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引入的相对不确定度为</w:t>
      </w:r>
    </w:p>
    <w:p>
      <w:pPr>
        <w:adjustRightInd w:val="0"/>
        <w:snapToGrid w:val="0"/>
        <w:spacing w:line="360" w:lineRule="auto"/>
        <w:ind w:firstLine="2160" w:firstLineChars="900"/>
        <w:rPr>
          <w:rFonts w:hint="default" w:ascii="Times New Roman" w:hAnsi="Times New Roman" w:eastAsia="宋体" w:cs="Times New Roman"/>
          <w:position w:val="-24"/>
          <w:sz w:val="24"/>
        </w:rPr>
      </w:pPr>
      <w:r>
        <w:rPr>
          <w:rFonts w:hint="default" w:ascii="Times New Roman" w:hAnsi="Times New Roman" w:eastAsia="宋体" w:cs="Times New Roman"/>
          <w:position w:val="-28"/>
          <w:sz w:val="24"/>
        </w:rPr>
        <w:object>
          <v:shape id="_x0000_i1051" o:spt="75" type="#_x0000_t75" style="height:32.6pt;width:192.4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2.4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default" w:ascii="Times New Roman" w:hAnsi="Times New Roman" w:eastAsia="宋体" w:cs="Times New Roman"/>
          <w:sz w:val="24"/>
        </w:rPr>
        <w:t>标准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物质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position w:val="-12"/>
          <w:sz w:val="24"/>
        </w:rPr>
        <w:object>
          <v:shape id="_x0000_i1052" o:spt="75" type="#_x0000_t75" style="height:18.8pt;width:40.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position w:val="-24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以上三项合成，</w:t>
      </w:r>
      <w:r>
        <w:rPr>
          <w:rFonts w:hint="default" w:ascii="Times New Roman" w:hAnsi="Times New Roman" w:eastAsia="宋体" w:cs="Times New Roman"/>
          <w:sz w:val="24"/>
        </w:rPr>
        <w:t>标准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物质</w:t>
      </w:r>
      <w:r>
        <w:rPr>
          <w:rFonts w:hint="default" w:ascii="Times New Roman" w:hAnsi="Times New Roman" w:eastAsia="宋体" w:cs="Times New Roman"/>
          <w:sz w:val="24"/>
        </w:rPr>
        <w:t>引入的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4"/>
        </w:rPr>
        <w:t>不确定度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为</w:t>
      </w:r>
    </w:p>
    <w:p>
      <w:pPr>
        <w:autoSpaceDE w:val="0"/>
        <w:autoSpaceDN w:val="0"/>
        <w:spacing w:line="360" w:lineRule="auto"/>
        <w:ind w:firstLine="240" w:firstLineChars="100"/>
        <w:jc w:val="left"/>
        <w:rPr>
          <w:rFonts w:hint="default" w:ascii="Times New Roman" w:hAnsi="Times New Roman" w:eastAsia="宋体" w:cs="Times New Roman"/>
          <w:position w:val="-24"/>
          <w:sz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         </w:t>
      </w:r>
      <w:r>
        <w:rPr>
          <w:rFonts w:hint="default" w:ascii="Times New Roman" w:hAnsi="Times New Roman" w:eastAsia="宋体" w:cs="Times New Roman"/>
          <w:position w:val="-16"/>
          <w:sz w:val="24"/>
        </w:rPr>
        <w:object>
          <v:shape id="_x0000_i1053" o:spt="75" type="#_x0000_t75" style="height:23.75pt;width:211.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</w:p>
    <w:p>
      <w:pPr>
        <w:adjustRightInd w:val="0"/>
        <w:snapToGrid w:val="0"/>
        <w:spacing w:line="240" w:lineRule="auto"/>
        <w:jc w:val="center"/>
        <w:rPr>
          <w:rFonts w:hint="default"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240" w:lineRule="auto"/>
        <w:jc w:val="center"/>
        <w:rPr>
          <w:rFonts w:hint="default"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240" w:lineRule="auto"/>
        <w:jc w:val="center"/>
        <w:rPr>
          <w:rFonts w:hint="default"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240" w:lineRule="auto"/>
        <w:jc w:val="center"/>
        <w:rPr>
          <w:rFonts w:hint="default"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240" w:lineRule="auto"/>
        <w:jc w:val="center"/>
        <w:rPr>
          <w:rFonts w:hint="default"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240" w:lineRule="auto"/>
        <w:jc w:val="center"/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</w:rPr>
        <w:t>表A.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标准物质引入的</w:t>
      </w:r>
      <w:r>
        <w:rPr>
          <w:rFonts w:hint="default" w:ascii="Times New Roman" w:hAnsi="Times New Roman" w:eastAsia="宋体" w:cs="Times New Roman"/>
          <w:szCs w:val="21"/>
        </w:rPr>
        <w:t>标准不确定度分量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汇总表</w:t>
      </w:r>
    </w:p>
    <w:tbl>
      <w:tblPr>
        <w:tblStyle w:val="24"/>
        <w:tblW w:w="9015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803"/>
        <w:gridCol w:w="1803"/>
        <w:gridCol w:w="1803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认定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值(g/cm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position w:val="-12"/>
                <w:sz w:val="21"/>
                <w:szCs w:val="21"/>
                <w:lang w:val="en-US" w:eastAsia="zh-CN"/>
              </w:rPr>
              <w:object>
                <v:shape id="_x0000_i1054" o:spt="75" type="#_x0000_t75" style="height:15.5pt;width:37.35pt;" o:ole="t" filled="f" o:preferrelative="t" stroked="f" coordsize="21600,21600">
                  <v:path/>
                  <v:fill on="f" focussize="0,0"/>
                  <v:stroke on="f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6">
                  <o:LockedField>false</o:LockedField>
                </o:OLEObject>
              </w:objec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position w:val="-12"/>
                <w:sz w:val="21"/>
                <w:szCs w:val="21"/>
                <w:lang w:val="en-US" w:eastAsia="zh-CN"/>
              </w:rPr>
              <w:object>
                <v:shape id="_x0000_i1055" o:spt="75" type="#_x0000_t75" style="height:15.5pt;width:39.1pt;" o:ole="t" filled="f" o:preferrelative="t" stroked="f" coordsize="21600,21600">
                  <v:path/>
                  <v:fill on="f" focussize="0,0"/>
                  <v:stroke on="f"/>
                  <v:imagedata r:id="rId69" o:title="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68">
                  <o:LockedField>false</o:LockedField>
                </o:OLEObject>
              </w:objec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position w:val="-12"/>
                <w:sz w:val="21"/>
                <w:szCs w:val="21"/>
                <w:lang w:val="en-US" w:eastAsia="zh-CN"/>
              </w:rPr>
              <w:object>
                <v:shape id="_x0000_i1056" o:spt="75" type="#_x0000_t75" style="height:15.5pt;width:38.25pt;" o:ole="t" filled="f" o:preferrelative="t" stroked="f" coordsize="21600,21600">
                  <v:path/>
                  <v:fill on="f" focussize="0,0"/>
                  <v:stroke on="f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70">
                  <o:LockedField>false</o:LockedField>
                </o:OLEObject>
              </w:objec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position w:val="-12"/>
                <w:sz w:val="21"/>
                <w:szCs w:val="21"/>
                <w:lang w:val="en-US" w:eastAsia="zh-CN"/>
              </w:rPr>
              <w:object>
                <v:shape id="_x0000_i1057" o:spt="75" type="#_x0000_t75" style="height:15.5pt;width:33.9pt;" o:ole="t" filled="f" o:preferrelative="t" stroked="f" coordsize="21600,21600">
                  <v:path/>
                  <v:fill on="f" focussize="0,0"/>
                  <v:stroke on="f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7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1.10%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0.006%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0.02%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0.79%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0.003%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0.02%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1.25%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0.002%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0.02%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0.83%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0.001%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0.02%</w:t>
            </w: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0.83%</w:t>
            </w:r>
          </w:p>
        </w:tc>
      </w:tr>
    </w:tbl>
    <w:p>
      <w:pPr>
        <w:adjustRightInd w:val="0"/>
        <w:snapToGrid w:val="0"/>
        <w:spacing w:line="240" w:lineRule="auto"/>
        <w:jc w:val="center"/>
        <w:rPr>
          <w:rFonts w:hint="default"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标准不确定度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分量</w:t>
      </w:r>
      <w:r>
        <w:rPr>
          <w:rFonts w:hint="default" w:ascii="Times New Roman" w:hAnsi="Times New Roman" w:eastAsia="宋体" w:cs="Times New Roman"/>
          <w:sz w:val="24"/>
          <w:szCs w:val="24"/>
        </w:rPr>
        <w:t>一览表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输入量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引入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的标准不确定度分量汇总于表A.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表A.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标准不确定度分量汇总表</w:t>
      </w:r>
    </w:p>
    <w:tbl>
      <w:tblPr>
        <w:tblStyle w:val="24"/>
        <w:tblW w:w="903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3655"/>
        <w:gridCol w:w="937"/>
        <w:gridCol w:w="937"/>
        <w:gridCol w:w="937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631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不确定度分量</w:t>
            </w:r>
          </w:p>
        </w:tc>
        <w:tc>
          <w:tcPr>
            <w:tcW w:w="3655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不确定度来源</w:t>
            </w:r>
          </w:p>
        </w:tc>
        <w:tc>
          <w:tcPr>
            <w:tcW w:w="3751" w:type="dxa"/>
            <w:gridSpan w:val="4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不确定度分量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(g/cm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631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655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94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7.27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3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position w:val="-1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position w:val="-12"/>
                <w:sz w:val="24"/>
                <w:szCs w:val="24"/>
                <w:lang w:val="en-US" w:eastAsia="zh-CN"/>
              </w:rPr>
              <w:object>
                <v:shape id="_x0000_i1058" o:spt="75" type="#_x0000_t75" style="height:20pt;width:35pt;" o:ole="t" filled="f" o:preferrelative="t" stroked="f" coordsize="21600,21600">
                  <v:path/>
                  <v:fill on="f" focussize="0,0"/>
                  <v:stroke on="f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KSEE3" ShapeID="_x0000_i1058" DrawAspect="Content" ObjectID="_1468075758" r:id="rId74">
                  <o:LockedField>false</o:LockedField>
                </o:OLEObject>
              </w:object>
            </w:r>
          </w:p>
        </w:tc>
        <w:tc>
          <w:tcPr>
            <w:tcW w:w="365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测量重复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性引入的不确定度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0.29%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0.22%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0.22%</w:t>
            </w:r>
          </w:p>
        </w:tc>
        <w:tc>
          <w:tcPr>
            <w:tcW w:w="94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0.21%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31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position w:val="-12"/>
                <w:sz w:val="24"/>
              </w:rPr>
              <w:object>
                <v:shape id="_x0000_i1059" o:spt="75" type="#_x0000_t75" style="height:18.8pt;width:40.9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75">
                  <o:LockedField>false</o:LockedField>
                </o:OLEObject>
              </w:object>
            </w:r>
          </w:p>
        </w:tc>
        <w:tc>
          <w:tcPr>
            <w:tcW w:w="365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标准物质定值引入的不确定度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1.10%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0.79%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1.25%</w:t>
            </w:r>
          </w:p>
        </w:tc>
        <w:tc>
          <w:tcPr>
            <w:tcW w:w="94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31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position w:val="-4"/>
                <w:sz w:val="24"/>
              </w:rPr>
            </w:pPr>
          </w:p>
        </w:tc>
        <w:tc>
          <w:tcPr>
            <w:tcW w:w="365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电子天平称量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引入的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标准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不确定度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0.006%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0.003%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0.002%</w:t>
            </w:r>
          </w:p>
        </w:tc>
        <w:tc>
          <w:tcPr>
            <w:tcW w:w="94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0.001%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31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position w:val="-4"/>
                <w:sz w:val="24"/>
              </w:rPr>
            </w:pPr>
          </w:p>
        </w:tc>
        <w:tc>
          <w:tcPr>
            <w:tcW w:w="365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标准球校准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引入的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标准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不确定度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0.02%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0.02%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0.02%</w:t>
            </w:r>
          </w:p>
        </w:tc>
        <w:tc>
          <w:tcPr>
            <w:tcW w:w="94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0.02%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31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position w:val="-4"/>
                <w:sz w:val="24"/>
              </w:rPr>
            </w:pPr>
          </w:p>
        </w:tc>
        <w:tc>
          <w:tcPr>
            <w:tcW w:w="365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标准物质引入的不确定度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汇总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1.10%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0.79%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1.25%</w:t>
            </w:r>
          </w:p>
        </w:tc>
        <w:tc>
          <w:tcPr>
            <w:tcW w:w="94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0.83%</w:t>
            </w:r>
          </w:p>
        </w:tc>
      </w:tr>
    </w:tbl>
    <w:p>
      <w:pPr>
        <w:adjustRightInd w:val="0"/>
        <w:snapToGrid w:val="0"/>
        <w:spacing w:beforeLines="50" w:line="288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A.6  合成标准不确定度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及扩展不确定度</w:t>
      </w:r>
    </w:p>
    <w:p>
      <w:pPr>
        <w:adjustRightInd w:val="0"/>
        <w:snapToGrid w:val="0"/>
        <w:spacing w:beforeLines="50" w:line="288" w:lineRule="auto"/>
        <w:ind w:firstLine="480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合成标准不确定度计算公式为：</w:t>
      </w:r>
    </w:p>
    <w:p>
      <w:pPr>
        <w:adjustRightInd w:val="0"/>
        <w:snapToGrid w:val="0"/>
        <w:spacing w:beforeLines="50" w:line="288" w:lineRule="auto"/>
        <w:ind w:firstLine="2702" w:firstLineChars="1126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14"/>
          <w:sz w:val="24"/>
          <w:lang w:eastAsia="zh-CN"/>
        </w:rPr>
        <w:object>
          <v:shape id="_x0000_i1060" o:spt="75" type="#_x0000_t75" style="height:24pt;width:144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取包含因子</w:t>
      </w:r>
      <w:r>
        <w:rPr>
          <w:rFonts w:hint="default" w:ascii="Times New Roman" w:hAnsi="Times New Roman" w:eastAsia="宋体" w:cs="Times New Roman"/>
          <w:i/>
          <w:iCs/>
          <w:color w:val="auto"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=2，则扩展不确定度为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2400" w:firstLineChars="1000"/>
        <w:textAlignment w:val="auto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12"/>
          <w:sz w:val="24"/>
        </w:rPr>
        <w:object>
          <v:shape id="_x0000_i1061" o:spt="75" type="#_x0000_t75" style="height:17.65pt;width:143.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</w:p>
    <w:p>
      <w:pPr>
        <w:adjustRightInd w:val="0"/>
        <w:snapToGrid w:val="0"/>
        <w:spacing w:line="240" w:lineRule="auto"/>
        <w:jc w:val="center"/>
        <w:rPr>
          <w:rFonts w:hint="default" w:ascii="Times New Roman" w:hAnsi="Times New Roman" w:eastAsia="宋体" w:cs="Times New Roman"/>
          <w:szCs w:val="21"/>
        </w:rPr>
      </w:pPr>
    </w:p>
    <w:p>
      <w:pPr>
        <w:adjustRightInd w:val="0"/>
        <w:snapToGrid w:val="0"/>
        <w:spacing w:line="240" w:lineRule="auto"/>
        <w:jc w:val="center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</w:rPr>
        <w:t>表A.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合成</w:t>
      </w:r>
      <w:r>
        <w:rPr>
          <w:rFonts w:hint="default" w:ascii="Times New Roman" w:hAnsi="Times New Roman" w:eastAsia="宋体" w:cs="Times New Roman"/>
          <w:szCs w:val="21"/>
        </w:rPr>
        <w:t>标准不确定度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及扩展</w:t>
      </w:r>
      <w:r>
        <w:rPr>
          <w:rFonts w:hint="default" w:ascii="Times New Roman" w:hAnsi="Times New Roman" w:eastAsia="宋体" w:cs="Times New Roman"/>
          <w:szCs w:val="21"/>
        </w:rPr>
        <w:t>不确定度</w:t>
      </w:r>
      <w:bookmarkStart w:id="0" w:name="_GoBack"/>
      <w:bookmarkEnd w:id="0"/>
    </w:p>
    <w:tbl>
      <w:tblPr>
        <w:tblStyle w:val="24"/>
        <w:tblW w:w="9015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3005"/>
        <w:gridCol w:w="3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认定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值(g/cm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position w:val="-12"/>
                <w:sz w:val="24"/>
              </w:rPr>
              <w:object>
                <v:shape id="_x0000_i1062" o:spt="75" type="#_x0000_t75" style="height:15.55pt;width:31.05pt;" o:ole="t" filled="f" o:preferrelative="t" stroked="f" coordsize="21600,21600">
                  <v:path/>
                  <v:fill on="f" focussize="0,0"/>
                  <v:stroke on="f"/>
                  <v:imagedata r:id="rId80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79">
                  <o:LockedField>false</o:LockedField>
                </o:OLEObject>
              </w:objec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position w:val="-10"/>
                <w:sz w:val="24"/>
              </w:rPr>
              <w:object>
                <v:shape id="_x0000_i1063" o:spt="75" type="#_x0000_t75" style="height:12.2pt;width:26.7pt;" o:ole="t" filled="f" o:preferrelative="t" stroked="f" coordsize="21600,21600">
                  <v:path/>
                  <v:fill on="f" focussize="0,0"/>
                  <v:stroke on="f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81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Times New Roman"/>
                <w:position w:val="-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i w:val="0"/>
                <w:iCs/>
                <w:sz w:val="24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i/>
                <w:sz w:val="24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1.14%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0.82%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1.27%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0.86%</w:t>
            </w:r>
          </w:p>
        </w:tc>
        <w:tc>
          <w:tcPr>
            <w:tcW w:w="30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1.8%</w:t>
            </w:r>
          </w:p>
        </w:tc>
      </w:tr>
    </w:tbl>
    <w:p>
      <w:pPr>
        <w:rPr>
          <w:rFonts w:hint="default" w:ascii="Times New Roman" w:hAnsi="Times New Roman" w:eastAsia="宋体" w:cs="Times New Roman"/>
        </w:rPr>
      </w:pPr>
    </w:p>
    <w:sectPr>
      <w:headerReference r:id="rId3" w:type="default"/>
      <w:footerReference r:id="rId4" w:type="default"/>
      <w:pgSz w:w="11906" w:h="16838"/>
      <w:pgMar w:top="1264" w:right="1417" w:bottom="1417" w:left="141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right"/>
      <w:rPr>
        <w:rFonts w:ascii="仿宋_GB2312" w:eastAsia="仿宋_GB2312"/>
      </w:rPr>
    </w:pPr>
    <w:r>
      <w:rPr>
        <w:rFonts w:hint="eastAsia" w:ascii="仿宋_GB2312" w:eastAsia="仿宋_GB2312"/>
      </w:rPr>
      <w:fldChar w:fldCharType="begin"/>
    </w:r>
    <w:r>
      <w:rPr>
        <w:rFonts w:hint="eastAsia" w:ascii="仿宋_GB2312" w:eastAsia="仿宋_GB2312"/>
      </w:rPr>
      <w:instrText xml:space="preserve">PAGE   \* MERGEFORMAT</w:instrText>
    </w:r>
    <w:r>
      <w:rPr>
        <w:rFonts w:hint="eastAsia" w:ascii="仿宋_GB2312" w:eastAsia="仿宋_GB2312"/>
      </w:rPr>
      <w:fldChar w:fldCharType="separate"/>
    </w:r>
    <w:r>
      <w:rPr>
        <w:rFonts w:ascii="仿宋_GB2312" w:eastAsia="仿宋_GB2312"/>
        <w:lang w:val="zh-CN"/>
      </w:rPr>
      <w:t>15</w:t>
    </w:r>
    <w:r>
      <w:rPr>
        <w:rFonts w:hint="eastAsia" w:ascii="仿宋_GB2312" w:eastAsia="仿宋_GB2312"/>
        <w:lang w:val="zh-CN"/>
      </w:rPr>
      <w:fldChar w:fldCharType="end"/>
    </w:r>
  </w:p>
  <w:p>
    <w:pPr>
      <w:pStyle w:val="15"/>
      <w:ind w:right="360"/>
      <w:jc w:val="right"/>
      <w:rPr>
        <w:rFonts w:ascii="仿宋_GB2312" w:eastAsia="仿宋_GB23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rPr>
        <w:rFonts w:ascii="黑体" w:eastAsia="黑体" w:cs="黑体"/>
        <w:sz w:val="21"/>
        <w:szCs w:val="21"/>
      </w:rPr>
      <w:t xml:space="preserve">JJF </w:t>
    </w:r>
    <w:r>
      <w:rPr>
        <w:rFonts w:hint="eastAsia" w:ascii="黑体" w:eastAsia="黑体" w:cs="黑体"/>
        <w:sz w:val="21"/>
        <w:szCs w:val="21"/>
      </w:rPr>
      <w:t>××××</w:t>
    </w:r>
    <w:r>
      <w:rPr>
        <w:rFonts w:hint="eastAsia" w:ascii="宋体" w:cs="宋体"/>
        <w:kern w:val="0"/>
        <w:sz w:val="21"/>
        <w:szCs w:val="21"/>
      </w:rPr>
      <w:t>─</w:t>
    </w:r>
    <w:r>
      <w:rPr>
        <w:rFonts w:hint="eastAsia" w:ascii="黑体" w:eastAsia="黑体" w:cs="黑体"/>
        <w:sz w:val="21"/>
        <w:szCs w:val="21"/>
      </w:rPr>
      <w:t>××××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A2025"/>
    <w:multiLevelType w:val="multilevel"/>
    <w:tmpl w:val="6CEA2025"/>
    <w:lvl w:ilvl="0" w:tentative="0">
      <w:start w:val="1"/>
      <w:numFmt w:val="none"/>
      <w:pStyle w:val="54"/>
      <w:suff w:val="nothing"/>
      <w:lvlText w:val="%1"/>
      <w:lvlJc w:val="left"/>
      <w:rPr>
        <w:rFonts w:hint="default" w:ascii="Times New Roman" w:hAnsi="Times New Roman" w:cs="Times New Roman"/>
        <w:b/>
        <w:bCs/>
        <w:i w:val="0"/>
        <w:iCs w:val="0"/>
        <w:sz w:val="21"/>
        <w:szCs w:val="21"/>
      </w:rPr>
    </w:lvl>
    <w:lvl w:ilvl="1" w:tentative="0">
      <w:start w:val="1"/>
      <w:numFmt w:val="decimal"/>
      <w:pStyle w:val="55"/>
      <w:suff w:val="nothing"/>
      <w:lvlText w:val="%1%2　"/>
      <w:lvlJc w:val="left"/>
      <w:pPr>
        <w:ind w:left="315"/>
      </w:pPr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2" w:tentative="0">
      <w:start w:val="1"/>
      <w:numFmt w:val="decimal"/>
      <w:pStyle w:val="56"/>
      <w:suff w:val="nothing"/>
      <w:lvlText w:val="%1%2.%3　"/>
      <w:lvlJc w:val="left"/>
      <w:pPr>
        <w:ind w:left="2205"/>
      </w:pPr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pStyle w:val="57"/>
      <w:suff w:val="nothing"/>
      <w:lvlText w:val="%1%2.%3.%4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pStyle w:val="58"/>
      <w:suff w:val="nothing"/>
      <w:lvlText w:val="%1%2.%3.%4.%5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pStyle w:val="59"/>
      <w:suff w:val="nothing"/>
      <w:lvlText w:val="%1%2.%3.%4.%5.%6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pStyle w:val="60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334"/>
    <w:rsid w:val="00003719"/>
    <w:rsid w:val="000068EB"/>
    <w:rsid w:val="00011006"/>
    <w:rsid w:val="00017B79"/>
    <w:rsid w:val="00025597"/>
    <w:rsid w:val="0002762E"/>
    <w:rsid w:val="00027890"/>
    <w:rsid w:val="000345C2"/>
    <w:rsid w:val="00034FE2"/>
    <w:rsid w:val="00036DF5"/>
    <w:rsid w:val="000404C0"/>
    <w:rsid w:val="000416EE"/>
    <w:rsid w:val="00050878"/>
    <w:rsid w:val="000510FD"/>
    <w:rsid w:val="00053265"/>
    <w:rsid w:val="000563D8"/>
    <w:rsid w:val="000573CF"/>
    <w:rsid w:val="00062333"/>
    <w:rsid w:val="00062BF3"/>
    <w:rsid w:val="000638FA"/>
    <w:rsid w:val="00065B98"/>
    <w:rsid w:val="000669CE"/>
    <w:rsid w:val="00066B01"/>
    <w:rsid w:val="00067AD9"/>
    <w:rsid w:val="000741A8"/>
    <w:rsid w:val="000941FC"/>
    <w:rsid w:val="000952A5"/>
    <w:rsid w:val="000967BB"/>
    <w:rsid w:val="000A1407"/>
    <w:rsid w:val="000A1C0D"/>
    <w:rsid w:val="000A31BF"/>
    <w:rsid w:val="000A405C"/>
    <w:rsid w:val="000A7D05"/>
    <w:rsid w:val="000B0F34"/>
    <w:rsid w:val="000B1D6C"/>
    <w:rsid w:val="000B3957"/>
    <w:rsid w:val="000B40E3"/>
    <w:rsid w:val="000B4C7C"/>
    <w:rsid w:val="000B4F38"/>
    <w:rsid w:val="000C0F2B"/>
    <w:rsid w:val="000C274E"/>
    <w:rsid w:val="000C6DF3"/>
    <w:rsid w:val="000D164D"/>
    <w:rsid w:val="000D1883"/>
    <w:rsid w:val="000D5534"/>
    <w:rsid w:val="000D5627"/>
    <w:rsid w:val="000D779E"/>
    <w:rsid w:val="000E02B6"/>
    <w:rsid w:val="000E0E77"/>
    <w:rsid w:val="000E1512"/>
    <w:rsid w:val="000E37E3"/>
    <w:rsid w:val="000F0E12"/>
    <w:rsid w:val="001023AD"/>
    <w:rsid w:val="001100B0"/>
    <w:rsid w:val="0011065C"/>
    <w:rsid w:val="0011205D"/>
    <w:rsid w:val="001137FB"/>
    <w:rsid w:val="00114593"/>
    <w:rsid w:val="001166BC"/>
    <w:rsid w:val="001177C0"/>
    <w:rsid w:val="00122258"/>
    <w:rsid w:val="0012460A"/>
    <w:rsid w:val="0012699B"/>
    <w:rsid w:val="00127DE7"/>
    <w:rsid w:val="00131091"/>
    <w:rsid w:val="001317FE"/>
    <w:rsid w:val="001420B1"/>
    <w:rsid w:val="001435AC"/>
    <w:rsid w:val="00143DAB"/>
    <w:rsid w:val="00144191"/>
    <w:rsid w:val="001446B5"/>
    <w:rsid w:val="00145AD8"/>
    <w:rsid w:val="00151E51"/>
    <w:rsid w:val="00162B06"/>
    <w:rsid w:val="00162F4A"/>
    <w:rsid w:val="00163062"/>
    <w:rsid w:val="00165725"/>
    <w:rsid w:val="00167A43"/>
    <w:rsid w:val="0017241A"/>
    <w:rsid w:val="00176862"/>
    <w:rsid w:val="00183E86"/>
    <w:rsid w:val="00184433"/>
    <w:rsid w:val="00187313"/>
    <w:rsid w:val="0019092A"/>
    <w:rsid w:val="00193265"/>
    <w:rsid w:val="0019406D"/>
    <w:rsid w:val="001A1FC9"/>
    <w:rsid w:val="001A21C1"/>
    <w:rsid w:val="001A4E68"/>
    <w:rsid w:val="001A6576"/>
    <w:rsid w:val="001A7C7B"/>
    <w:rsid w:val="001B304A"/>
    <w:rsid w:val="001B466E"/>
    <w:rsid w:val="001B51B8"/>
    <w:rsid w:val="001B53DE"/>
    <w:rsid w:val="001B7065"/>
    <w:rsid w:val="001C36E3"/>
    <w:rsid w:val="001C638D"/>
    <w:rsid w:val="001C65CD"/>
    <w:rsid w:val="001D366C"/>
    <w:rsid w:val="001D3907"/>
    <w:rsid w:val="001E367D"/>
    <w:rsid w:val="001E60FD"/>
    <w:rsid w:val="001E64E3"/>
    <w:rsid w:val="001E7260"/>
    <w:rsid w:val="001E79DA"/>
    <w:rsid w:val="001F5747"/>
    <w:rsid w:val="001F5942"/>
    <w:rsid w:val="001F59C9"/>
    <w:rsid w:val="0020076E"/>
    <w:rsid w:val="00202F58"/>
    <w:rsid w:val="00206708"/>
    <w:rsid w:val="00206A9D"/>
    <w:rsid w:val="00207BD7"/>
    <w:rsid w:val="002140B9"/>
    <w:rsid w:val="00216691"/>
    <w:rsid w:val="00216DA1"/>
    <w:rsid w:val="00220B0B"/>
    <w:rsid w:val="0022204C"/>
    <w:rsid w:val="00223558"/>
    <w:rsid w:val="002253BC"/>
    <w:rsid w:val="0022577A"/>
    <w:rsid w:val="002324B7"/>
    <w:rsid w:val="00232D04"/>
    <w:rsid w:val="0023540D"/>
    <w:rsid w:val="00246605"/>
    <w:rsid w:val="002475D0"/>
    <w:rsid w:val="00250FC4"/>
    <w:rsid w:val="00255DFE"/>
    <w:rsid w:val="00276986"/>
    <w:rsid w:val="002774AC"/>
    <w:rsid w:val="00281FDA"/>
    <w:rsid w:val="00282ECD"/>
    <w:rsid w:val="002845E0"/>
    <w:rsid w:val="00287147"/>
    <w:rsid w:val="002925F7"/>
    <w:rsid w:val="00294EFE"/>
    <w:rsid w:val="00295476"/>
    <w:rsid w:val="002A0188"/>
    <w:rsid w:val="002A2F02"/>
    <w:rsid w:val="002B05BD"/>
    <w:rsid w:val="002B0A59"/>
    <w:rsid w:val="002B1598"/>
    <w:rsid w:val="002B24B8"/>
    <w:rsid w:val="002B335E"/>
    <w:rsid w:val="002C37B0"/>
    <w:rsid w:val="002C37E4"/>
    <w:rsid w:val="002C4641"/>
    <w:rsid w:val="002C571F"/>
    <w:rsid w:val="002C5D04"/>
    <w:rsid w:val="002C62CA"/>
    <w:rsid w:val="002C7784"/>
    <w:rsid w:val="002D46A0"/>
    <w:rsid w:val="002D5323"/>
    <w:rsid w:val="002D63C9"/>
    <w:rsid w:val="002E1E0B"/>
    <w:rsid w:val="002F4B36"/>
    <w:rsid w:val="002F73D3"/>
    <w:rsid w:val="00302208"/>
    <w:rsid w:val="00302B1D"/>
    <w:rsid w:val="00306540"/>
    <w:rsid w:val="00307BD6"/>
    <w:rsid w:val="00307C6B"/>
    <w:rsid w:val="00310308"/>
    <w:rsid w:val="00315793"/>
    <w:rsid w:val="00317E43"/>
    <w:rsid w:val="00320967"/>
    <w:rsid w:val="00321295"/>
    <w:rsid w:val="00322244"/>
    <w:rsid w:val="00322E7E"/>
    <w:rsid w:val="00326A43"/>
    <w:rsid w:val="003277DA"/>
    <w:rsid w:val="00330576"/>
    <w:rsid w:val="00331B40"/>
    <w:rsid w:val="00331BAF"/>
    <w:rsid w:val="00335464"/>
    <w:rsid w:val="00340172"/>
    <w:rsid w:val="003546D6"/>
    <w:rsid w:val="00357238"/>
    <w:rsid w:val="0035739D"/>
    <w:rsid w:val="003608C1"/>
    <w:rsid w:val="00361D84"/>
    <w:rsid w:val="00373836"/>
    <w:rsid w:val="00376F35"/>
    <w:rsid w:val="003804E2"/>
    <w:rsid w:val="00381B76"/>
    <w:rsid w:val="00382403"/>
    <w:rsid w:val="0038312C"/>
    <w:rsid w:val="00385B62"/>
    <w:rsid w:val="00390D9A"/>
    <w:rsid w:val="00391507"/>
    <w:rsid w:val="00393BAC"/>
    <w:rsid w:val="0039564B"/>
    <w:rsid w:val="00396235"/>
    <w:rsid w:val="003963B1"/>
    <w:rsid w:val="003A18AF"/>
    <w:rsid w:val="003A1922"/>
    <w:rsid w:val="003B03FD"/>
    <w:rsid w:val="003B36E9"/>
    <w:rsid w:val="003B539F"/>
    <w:rsid w:val="003B6570"/>
    <w:rsid w:val="003B726D"/>
    <w:rsid w:val="003B7635"/>
    <w:rsid w:val="003C014F"/>
    <w:rsid w:val="003C2775"/>
    <w:rsid w:val="003C34FC"/>
    <w:rsid w:val="003C6050"/>
    <w:rsid w:val="003E06E2"/>
    <w:rsid w:val="003E2AB6"/>
    <w:rsid w:val="003E40AC"/>
    <w:rsid w:val="003E4324"/>
    <w:rsid w:val="003E66EF"/>
    <w:rsid w:val="003E7E83"/>
    <w:rsid w:val="003F5752"/>
    <w:rsid w:val="003F63AB"/>
    <w:rsid w:val="003F7091"/>
    <w:rsid w:val="004061A5"/>
    <w:rsid w:val="00410DD8"/>
    <w:rsid w:val="00411516"/>
    <w:rsid w:val="00412790"/>
    <w:rsid w:val="00413377"/>
    <w:rsid w:val="004151C5"/>
    <w:rsid w:val="00415B04"/>
    <w:rsid w:val="0041641C"/>
    <w:rsid w:val="00420574"/>
    <w:rsid w:val="00430000"/>
    <w:rsid w:val="00431A2D"/>
    <w:rsid w:val="00431D31"/>
    <w:rsid w:val="00433FAD"/>
    <w:rsid w:val="004370B8"/>
    <w:rsid w:val="00437527"/>
    <w:rsid w:val="00447420"/>
    <w:rsid w:val="00451599"/>
    <w:rsid w:val="004532AC"/>
    <w:rsid w:val="004632D9"/>
    <w:rsid w:val="004649D0"/>
    <w:rsid w:val="004740D3"/>
    <w:rsid w:val="0047448C"/>
    <w:rsid w:val="0048018C"/>
    <w:rsid w:val="00480D4F"/>
    <w:rsid w:val="00483A38"/>
    <w:rsid w:val="00484C34"/>
    <w:rsid w:val="004910CE"/>
    <w:rsid w:val="00492095"/>
    <w:rsid w:val="004B387D"/>
    <w:rsid w:val="004C3BDE"/>
    <w:rsid w:val="004C57C2"/>
    <w:rsid w:val="004C5AA4"/>
    <w:rsid w:val="004D3369"/>
    <w:rsid w:val="004D5DB1"/>
    <w:rsid w:val="004D668D"/>
    <w:rsid w:val="004D79B0"/>
    <w:rsid w:val="004E15AC"/>
    <w:rsid w:val="004E51F2"/>
    <w:rsid w:val="004E758D"/>
    <w:rsid w:val="004F3548"/>
    <w:rsid w:val="004F503D"/>
    <w:rsid w:val="004F52B6"/>
    <w:rsid w:val="004F6016"/>
    <w:rsid w:val="004F747F"/>
    <w:rsid w:val="00500957"/>
    <w:rsid w:val="005033F3"/>
    <w:rsid w:val="00514CC2"/>
    <w:rsid w:val="0052370A"/>
    <w:rsid w:val="00524EF4"/>
    <w:rsid w:val="00525DBA"/>
    <w:rsid w:val="00526DA9"/>
    <w:rsid w:val="00527C0F"/>
    <w:rsid w:val="00534923"/>
    <w:rsid w:val="0054048B"/>
    <w:rsid w:val="00541300"/>
    <w:rsid w:val="0054352B"/>
    <w:rsid w:val="00544B88"/>
    <w:rsid w:val="005524A2"/>
    <w:rsid w:val="005552B6"/>
    <w:rsid w:val="00555C8D"/>
    <w:rsid w:val="00560E3E"/>
    <w:rsid w:val="00561613"/>
    <w:rsid w:val="00561AD2"/>
    <w:rsid w:val="00562D15"/>
    <w:rsid w:val="00564577"/>
    <w:rsid w:val="005648E9"/>
    <w:rsid w:val="005670E9"/>
    <w:rsid w:val="00575ACB"/>
    <w:rsid w:val="00576A65"/>
    <w:rsid w:val="0057753D"/>
    <w:rsid w:val="00577612"/>
    <w:rsid w:val="00582CB3"/>
    <w:rsid w:val="00583E47"/>
    <w:rsid w:val="00584A8E"/>
    <w:rsid w:val="005861B9"/>
    <w:rsid w:val="0059086E"/>
    <w:rsid w:val="00591F28"/>
    <w:rsid w:val="005A4C48"/>
    <w:rsid w:val="005B18B3"/>
    <w:rsid w:val="005B28C0"/>
    <w:rsid w:val="005B4120"/>
    <w:rsid w:val="005B7DC0"/>
    <w:rsid w:val="005C3B30"/>
    <w:rsid w:val="005C3F63"/>
    <w:rsid w:val="005C7E62"/>
    <w:rsid w:val="005D0837"/>
    <w:rsid w:val="005D2A86"/>
    <w:rsid w:val="005D6090"/>
    <w:rsid w:val="005E5285"/>
    <w:rsid w:val="005F04F4"/>
    <w:rsid w:val="005F18A3"/>
    <w:rsid w:val="005F1C28"/>
    <w:rsid w:val="005F2619"/>
    <w:rsid w:val="005F34FE"/>
    <w:rsid w:val="005F442E"/>
    <w:rsid w:val="005F48EC"/>
    <w:rsid w:val="005F4E9F"/>
    <w:rsid w:val="005F55F3"/>
    <w:rsid w:val="0060005B"/>
    <w:rsid w:val="00604400"/>
    <w:rsid w:val="00614722"/>
    <w:rsid w:val="00616FC5"/>
    <w:rsid w:val="00622184"/>
    <w:rsid w:val="006237B7"/>
    <w:rsid w:val="0062557F"/>
    <w:rsid w:val="00632283"/>
    <w:rsid w:val="00640984"/>
    <w:rsid w:val="00641B47"/>
    <w:rsid w:val="006445D7"/>
    <w:rsid w:val="006461C1"/>
    <w:rsid w:val="0065426D"/>
    <w:rsid w:val="006553CF"/>
    <w:rsid w:val="0066158D"/>
    <w:rsid w:val="00673692"/>
    <w:rsid w:val="0067770F"/>
    <w:rsid w:val="00677ABE"/>
    <w:rsid w:val="00683269"/>
    <w:rsid w:val="00684986"/>
    <w:rsid w:val="006856C9"/>
    <w:rsid w:val="00690455"/>
    <w:rsid w:val="00690E05"/>
    <w:rsid w:val="006972FF"/>
    <w:rsid w:val="00697C48"/>
    <w:rsid w:val="006A5304"/>
    <w:rsid w:val="006A6CC2"/>
    <w:rsid w:val="006A7DAF"/>
    <w:rsid w:val="006B112E"/>
    <w:rsid w:val="006B331A"/>
    <w:rsid w:val="006B36A5"/>
    <w:rsid w:val="006B4BB2"/>
    <w:rsid w:val="006B4CE6"/>
    <w:rsid w:val="006B5E45"/>
    <w:rsid w:val="006C2A32"/>
    <w:rsid w:val="006C418B"/>
    <w:rsid w:val="006C43F5"/>
    <w:rsid w:val="006C4BD2"/>
    <w:rsid w:val="006C7AEA"/>
    <w:rsid w:val="006D1038"/>
    <w:rsid w:val="006D416B"/>
    <w:rsid w:val="006D6470"/>
    <w:rsid w:val="006F2048"/>
    <w:rsid w:val="006F5A8E"/>
    <w:rsid w:val="006F76A2"/>
    <w:rsid w:val="00703CF5"/>
    <w:rsid w:val="00707884"/>
    <w:rsid w:val="007106DF"/>
    <w:rsid w:val="00713741"/>
    <w:rsid w:val="00713B48"/>
    <w:rsid w:val="00715E44"/>
    <w:rsid w:val="0071798E"/>
    <w:rsid w:val="00721520"/>
    <w:rsid w:val="00725272"/>
    <w:rsid w:val="00744A6F"/>
    <w:rsid w:val="007555CE"/>
    <w:rsid w:val="0075680F"/>
    <w:rsid w:val="00762B3A"/>
    <w:rsid w:val="00773C5B"/>
    <w:rsid w:val="0077646F"/>
    <w:rsid w:val="00777CFE"/>
    <w:rsid w:val="00783110"/>
    <w:rsid w:val="007934CF"/>
    <w:rsid w:val="0079439D"/>
    <w:rsid w:val="00794DE9"/>
    <w:rsid w:val="0079589D"/>
    <w:rsid w:val="00797558"/>
    <w:rsid w:val="0079774E"/>
    <w:rsid w:val="007A2503"/>
    <w:rsid w:val="007A36C8"/>
    <w:rsid w:val="007A75D7"/>
    <w:rsid w:val="007B218C"/>
    <w:rsid w:val="007B4D14"/>
    <w:rsid w:val="007B544C"/>
    <w:rsid w:val="007C22B7"/>
    <w:rsid w:val="007C299B"/>
    <w:rsid w:val="007C3AFB"/>
    <w:rsid w:val="007C54B2"/>
    <w:rsid w:val="007C646A"/>
    <w:rsid w:val="007D1837"/>
    <w:rsid w:val="007D327D"/>
    <w:rsid w:val="007D38A0"/>
    <w:rsid w:val="007E0512"/>
    <w:rsid w:val="007E079B"/>
    <w:rsid w:val="007F27A7"/>
    <w:rsid w:val="007F30FF"/>
    <w:rsid w:val="007F3265"/>
    <w:rsid w:val="00803EAA"/>
    <w:rsid w:val="00803FF2"/>
    <w:rsid w:val="008065DD"/>
    <w:rsid w:val="008120D7"/>
    <w:rsid w:val="00814BB8"/>
    <w:rsid w:val="00820E35"/>
    <w:rsid w:val="00821DE5"/>
    <w:rsid w:val="00824740"/>
    <w:rsid w:val="00827216"/>
    <w:rsid w:val="00831039"/>
    <w:rsid w:val="00833035"/>
    <w:rsid w:val="00833EBE"/>
    <w:rsid w:val="0083578F"/>
    <w:rsid w:val="00841943"/>
    <w:rsid w:val="008423D6"/>
    <w:rsid w:val="008425A4"/>
    <w:rsid w:val="008425F9"/>
    <w:rsid w:val="008431A1"/>
    <w:rsid w:val="0084334E"/>
    <w:rsid w:val="00843964"/>
    <w:rsid w:val="00844306"/>
    <w:rsid w:val="00847D9A"/>
    <w:rsid w:val="00851B28"/>
    <w:rsid w:val="0085477F"/>
    <w:rsid w:val="00855374"/>
    <w:rsid w:val="008568C9"/>
    <w:rsid w:val="008574CC"/>
    <w:rsid w:val="008576A0"/>
    <w:rsid w:val="008655D8"/>
    <w:rsid w:val="00876408"/>
    <w:rsid w:val="0087774E"/>
    <w:rsid w:val="00880067"/>
    <w:rsid w:val="008841F0"/>
    <w:rsid w:val="00887581"/>
    <w:rsid w:val="008910E8"/>
    <w:rsid w:val="008972A1"/>
    <w:rsid w:val="008A3DF8"/>
    <w:rsid w:val="008A71C8"/>
    <w:rsid w:val="008B06B9"/>
    <w:rsid w:val="008B1600"/>
    <w:rsid w:val="008B18F1"/>
    <w:rsid w:val="008B4195"/>
    <w:rsid w:val="008C085C"/>
    <w:rsid w:val="008C5DB5"/>
    <w:rsid w:val="008D3602"/>
    <w:rsid w:val="008D5295"/>
    <w:rsid w:val="008D5AE6"/>
    <w:rsid w:val="008E1947"/>
    <w:rsid w:val="008E38DC"/>
    <w:rsid w:val="008E6C45"/>
    <w:rsid w:val="008F054F"/>
    <w:rsid w:val="008F1D52"/>
    <w:rsid w:val="008F588E"/>
    <w:rsid w:val="008F610D"/>
    <w:rsid w:val="008F772E"/>
    <w:rsid w:val="009009D0"/>
    <w:rsid w:val="0090507E"/>
    <w:rsid w:val="009054F7"/>
    <w:rsid w:val="00905C34"/>
    <w:rsid w:val="00915118"/>
    <w:rsid w:val="009220CA"/>
    <w:rsid w:val="00924017"/>
    <w:rsid w:val="009336E8"/>
    <w:rsid w:val="00937C13"/>
    <w:rsid w:val="00942D16"/>
    <w:rsid w:val="00952A6B"/>
    <w:rsid w:val="00955F01"/>
    <w:rsid w:val="00957408"/>
    <w:rsid w:val="009608C0"/>
    <w:rsid w:val="00963D59"/>
    <w:rsid w:val="00964616"/>
    <w:rsid w:val="00964FD6"/>
    <w:rsid w:val="00967F06"/>
    <w:rsid w:val="009726E9"/>
    <w:rsid w:val="009743C7"/>
    <w:rsid w:val="00976AEA"/>
    <w:rsid w:val="00976D0F"/>
    <w:rsid w:val="0097773B"/>
    <w:rsid w:val="00983DFB"/>
    <w:rsid w:val="009921A4"/>
    <w:rsid w:val="00995B9C"/>
    <w:rsid w:val="009978A6"/>
    <w:rsid w:val="009A2C52"/>
    <w:rsid w:val="009A50E7"/>
    <w:rsid w:val="009B4BA3"/>
    <w:rsid w:val="009B7B95"/>
    <w:rsid w:val="009C0618"/>
    <w:rsid w:val="009C21D3"/>
    <w:rsid w:val="009C56F3"/>
    <w:rsid w:val="009D33EC"/>
    <w:rsid w:val="009D3EF4"/>
    <w:rsid w:val="009E0539"/>
    <w:rsid w:val="009F0102"/>
    <w:rsid w:val="009F2635"/>
    <w:rsid w:val="009F317F"/>
    <w:rsid w:val="009F7919"/>
    <w:rsid w:val="00A0018A"/>
    <w:rsid w:val="00A018D0"/>
    <w:rsid w:val="00A02DEE"/>
    <w:rsid w:val="00A04635"/>
    <w:rsid w:val="00A04EA8"/>
    <w:rsid w:val="00A06555"/>
    <w:rsid w:val="00A11727"/>
    <w:rsid w:val="00A13E99"/>
    <w:rsid w:val="00A15966"/>
    <w:rsid w:val="00A15993"/>
    <w:rsid w:val="00A218FD"/>
    <w:rsid w:val="00A21EF1"/>
    <w:rsid w:val="00A2260C"/>
    <w:rsid w:val="00A2464F"/>
    <w:rsid w:val="00A35EE8"/>
    <w:rsid w:val="00A575BC"/>
    <w:rsid w:val="00A605AD"/>
    <w:rsid w:val="00A6285B"/>
    <w:rsid w:val="00A62A9D"/>
    <w:rsid w:val="00A63B95"/>
    <w:rsid w:val="00A648B4"/>
    <w:rsid w:val="00A67908"/>
    <w:rsid w:val="00A748B0"/>
    <w:rsid w:val="00A75401"/>
    <w:rsid w:val="00A80428"/>
    <w:rsid w:val="00A86A92"/>
    <w:rsid w:val="00A87369"/>
    <w:rsid w:val="00A97977"/>
    <w:rsid w:val="00A97DBD"/>
    <w:rsid w:val="00AA11DF"/>
    <w:rsid w:val="00AA5C08"/>
    <w:rsid w:val="00AC2C59"/>
    <w:rsid w:val="00AC63D6"/>
    <w:rsid w:val="00AD003B"/>
    <w:rsid w:val="00AD4261"/>
    <w:rsid w:val="00AD579E"/>
    <w:rsid w:val="00AE6A27"/>
    <w:rsid w:val="00AF0AAF"/>
    <w:rsid w:val="00AF7019"/>
    <w:rsid w:val="00B068A1"/>
    <w:rsid w:val="00B14143"/>
    <w:rsid w:val="00B161F7"/>
    <w:rsid w:val="00B21576"/>
    <w:rsid w:val="00B21662"/>
    <w:rsid w:val="00B27795"/>
    <w:rsid w:val="00B33664"/>
    <w:rsid w:val="00B345D7"/>
    <w:rsid w:val="00B3524C"/>
    <w:rsid w:val="00B3584D"/>
    <w:rsid w:val="00B37B96"/>
    <w:rsid w:val="00B37FB0"/>
    <w:rsid w:val="00B429F6"/>
    <w:rsid w:val="00B45F56"/>
    <w:rsid w:val="00B50E8E"/>
    <w:rsid w:val="00B62626"/>
    <w:rsid w:val="00B62FA9"/>
    <w:rsid w:val="00B63E43"/>
    <w:rsid w:val="00B6570F"/>
    <w:rsid w:val="00B75117"/>
    <w:rsid w:val="00B870C0"/>
    <w:rsid w:val="00B900DB"/>
    <w:rsid w:val="00B907F6"/>
    <w:rsid w:val="00B908A7"/>
    <w:rsid w:val="00B916DB"/>
    <w:rsid w:val="00B91B53"/>
    <w:rsid w:val="00BA1E84"/>
    <w:rsid w:val="00BA4657"/>
    <w:rsid w:val="00BA7C9A"/>
    <w:rsid w:val="00BA7DC4"/>
    <w:rsid w:val="00BB48C0"/>
    <w:rsid w:val="00BB5F18"/>
    <w:rsid w:val="00BC1F01"/>
    <w:rsid w:val="00BC1F95"/>
    <w:rsid w:val="00BD3354"/>
    <w:rsid w:val="00BD59F6"/>
    <w:rsid w:val="00BD5C79"/>
    <w:rsid w:val="00BD797D"/>
    <w:rsid w:val="00BE1530"/>
    <w:rsid w:val="00BE1736"/>
    <w:rsid w:val="00BE5BF0"/>
    <w:rsid w:val="00BE6114"/>
    <w:rsid w:val="00BF047B"/>
    <w:rsid w:val="00BF2465"/>
    <w:rsid w:val="00BF7E9F"/>
    <w:rsid w:val="00C00B66"/>
    <w:rsid w:val="00C11AC4"/>
    <w:rsid w:val="00C13ED2"/>
    <w:rsid w:val="00C20EB6"/>
    <w:rsid w:val="00C2111D"/>
    <w:rsid w:val="00C22173"/>
    <w:rsid w:val="00C22F9F"/>
    <w:rsid w:val="00C23A09"/>
    <w:rsid w:val="00C259C0"/>
    <w:rsid w:val="00C31906"/>
    <w:rsid w:val="00C34934"/>
    <w:rsid w:val="00C352EE"/>
    <w:rsid w:val="00C42DB5"/>
    <w:rsid w:val="00C443E1"/>
    <w:rsid w:val="00C4517A"/>
    <w:rsid w:val="00C46B68"/>
    <w:rsid w:val="00C47063"/>
    <w:rsid w:val="00C5054C"/>
    <w:rsid w:val="00C55481"/>
    <w:rsid w:val="00C55FA4"/>
    <w:rsid w:val="00C607C2"/>
    <w:rsid w:val="00C733B9"/>
    <w:rsid w:val="00C77561"/>
    <w:rsid w:val="00C77CCE"/>
    <w:rsid w:val="00C80A7D"/>
    <w:rsid w:val="00C8127B"/>
    <w:rsid w:val="00C84F7C"/>
    <w:rsid w:val="00C852EB"/>
    <w:rsid w:val="00C86D14"/>
    <w:rsid w:val="00C92895"/>
    <w:rsid w:val="00C973FC"/>
    <w:rsid w:val="00CA3F88"/>
    <w:rsid w:val="00CA406D"/>
    <w:rsid w:val="00CA7303"/>
    <w:rsid w:val="00CB0992"/>
    <w:rsid w:val="00CB5C77"/>
    <w:rsid w:val="00CB72BB"/>
    <w:rsid w:val="00CB7CDC"/>
    <w:rsid w:val="00CC4DE7"/>
    <w:rsid w:val="00CD084C"/>
    <w:rsid w:val="00CD35DD"/>
    <w:rsid w:val="00CD383A"/>
    <w:rsid w:val="00CD3943"/>
    <w:rsid w:val="00CD504B"/>
    <w:rsid w:val="00CD67BB"/>
    <w:rsid w:val="00CE2DFF"/>
    <w:rsid w:val="00CE3671"/>
    <w:rsid w:val="00CF06DB"/>
    <w:rsid w:val="00CF5ECD"/>
    <w:rsid w:val="00CF72E6"/>
    <w:rsid w:val="00D029A7"/>
    <w:rsid w:val="00D06138"/>
    <w:rsid w:val="00D061B7"/>
    <w:rsid w:val="00D1034F"/>
    <w:rsid w:val="00D10411"/>
    <w:rsid w:val="00D112ED"/>
    <w:rsid w:val="00D119F4"/>
    <w:rsid w:val="00D12F77"/>
    <w:rsid w:val="00D15ED9"/>
    <w:rsid w:val="00D234E5"/>
    <w:rsid w:val="00D2683D"/>
    <w:rsid w:val="00D272F8"/>
    <w:rsid w:val="00D3042B"/>
    <w:rsid w:val="00D31137"/>
    <w:rsid w:val="00D31D56"/>
    <w:rsid w:val="00D35FA8"/>
    <w:rsid w:val="00D402E0"/>
    <w:rsid w:val="00D459FF"/>
    <w:rsid w:val="00D465CF"/>
    <w:rsid w:val="00D5571C"/>
    <w:rsid w:val="00D636C2"/>
    <w:rsid w:val="00D63887"/>
    <w:rsid w:val="00D63EC7"/>
    <w:rsid w:val="00D643D6"/>
    <w:rsid w:val="00D65574"/>
    <w:rsid w:val="00D710EA"/>
    <w:rsid w:val="00D73DFF"/>
    <w:rsid w:val="00D76916"/>
    <w:rsid w:val="00D76CA3"/>
    <w:rsid w:val="00D77334"/>
    <w:rsid w:val="00D820EF"/>
    <w:rsid w:val="00D83C85"/>
    <w:rsid w:val="00D85FF6"/>
    <w:rsid w:val="00D86437"/>
    <w:rsid w:val="00D907A6"/>
    <w:rsid w:val="00D909B8"/>
    <w:rsid w:val="00D9227E"/>
    <w:rsid w:val="00D92C72"/>
    <w:rsid w:val="00D94704"/>
    <w:rsid w:val="00D96C90"/>
    <w:rsid w:val="00DA07BF"/>
    <w:rsid w:val="00DA5ADE"/>
    <w:rsid w:val="00DA61AC"/>
    <w:rsid w:val="00DA64DF"/>
    <w:rsid w:val="00DA65A2"/>
    <w:rsid w:val="00DA672D"/>
    <w:rsid w:val="00DB0280"/>
    <w:rsid w:val="00DB0998"/>
    <w:rsid w:val="00DB5FBF"/>
    <w:rsid w:val="00DB647D"/>
    <w:rsid w:val="00DC498C"/>
    <w:rsid w:val="00DC54AB"/>
    <w:rsid w:val="00DC6AA8"/>
    <w:rsid w:val="00DD0751"/>
    <w:rsid w:val="00DD2C22"/>
    <w:rsid w:val="00DD4534"/>
    <w:rsid w:val="00DE1D39"/>
    <w:rsid w:val="00DE31DF"/>
    <w:rsid w:val="00DE3EA4"/>
    <w:rsid w:val="00DE4AD0"/>
    <w:rsid w:val="00DE4F54"/>
    <w:rsid w:val="00DF2F4D"/>
    <w:rsid w:val="00DF45F0"/>
    <w:rsid w:val="00DF4A4B"/>
    <w:rsid w:val="00DF5050"/>
    <w:rsid w:val="00DF63F4"/>
    <w:rsid w:val="00DF66AF"/>
    <w:rsid w:val="00DF6D5B"/>
    <w:rsid w:val="00E00ECF"/>
    <w:rsid w:val="00E041E4"/>
    <w:rsid w:val="00E10351"/>
    <w:rsid w:val="00E12DA1"/>
    <w:rsid w:val="00E13ACC"/>
    <w:rsid w:val="00E14C2C"/>
    <w:rsid w:val="00E159A7"/>
    <w:rsid w:val="00E210EF"/>
    <w:rsid w:val="00E236B5"/>
    <w:rsid w:val="00E253D7"/>
    <w:rsid w:val="00E26336"/>
    <w:rsid w:val="00E27DF7"/>
    <w:rsid w:val="00E35AAE"/>
    <w:rsid w:val="00E36761"/>
    <w:rsid w:val="00E401D6"/>
    <w:rsid w:val="00E40A6C"/>
    <w:rsid w:val="00E418D1"/>
    <w:rsid w:val="00E44FE1"/>
    <w:rsid w:val="00E46308"/>
    <w:rsid w:val="00E46A66"/>
    <w:rsid w:val="00E47C85"/>
    <w:rsid w:val="00E603A0"/>
    <w:rsid w:val="00E60D9A"/>
    <w:rsid w:val="00E621A2"/>
    <w:rsid w:val="00E655E5"/>
    <w:rsid w:val="00E77230"/>
    <w:rsid w:val="00E83F36"/>
    <w:rsid w:val="00E867C6"/>
    <w:rsid w:val="00E927AC"/>
    <w:rsid w:val="00E97C17"/>
    <w:rsid w:val="00EA015D"/>
    <w:rsid w:val="00EA1666"/>
    <w:rsid w:val="00EA4204"/>
    <w:rsid w:val="00EB1FF6"/>
    <w:rsid w:val="00EB2922"/>
    <w:rsid w:val="00EB34FF"/>
    <w:rsid w:val="00EB4421"/>
    <w:rsid w:val="00EC05B0"/>
    <w:rsid w:val="00ED0081"/>
    <w:rsid w:val="00ED1A70"/>
    <w:rsid w:val="00ED2379"/>
    <w:rsid w:val="00ED3D5A"/>
    <w:rsid w:val="00ED6F82"/>
    <w:rsid w:val="00EE1CD8"/>
    <w:rsid w:val="00EE25D2"/>
    <w:rsid w:val="00EE68F1"/>
    <w:rsid w:val="00EF230A"/>
    <w:rsid w:val="00EF4A4C"/>
    <w:rsid w:val="00EF6213"/>
    <w:rsid w:val="00F00F43"/>
    <w:rsid w:val="00F0121F"/>
    <w:rsid w:val="00F01C3F"/>
    <w:rsid w:val="00F0768B"/>
    <w:rsid w:val="00F07A5D"/>
    <w:rsid w:val="00F10620"/>
    <w:rsid w:val="00F11375"/>
    <w:rsid w:val="00F15510"/>
    <w:rsid w:val="00F27C17"/>
    <w:rsid w:val="00F35DA2"/>
    <w:rsid w:val="00F374CD"/>
    <w:rsid w:val="00F4011B"/>
    <w:rsid w:val="00F407A3"/>
    <w:rsid w:val="00F41E91"/>
    <w:rsid w:val="00F42367"/>
    <w:rsid w:val="00F4583A"/>
    <w:rsid w:val="00F47504"/>
    <w:rsid w:val="00F53F0C"/>
    <w:rsid w:val="00F662E1"/>
    <w:rsid w:val="00F66871"/>
    <w:rsid w:val="00F66A64"/>
    <w:rsid w:val="00F67C46"/>
    <w:rsid w:val="00F70047"/>
    <w:rsid w:val="00F740EB"/>
    <w:rsid w:val="00F74FFD"/>
    <w:rsid w:val="00F8008A"/>
    <w:rsid w:val="00F80D5A"/>
    <w:rsid w:val="00F828AF"/>
    <w:rsid w:val="00F83751"/>
    <w:rsid w:val="00F85A61"/>
    <w:rsid w:val="00F90DBE"/>
    <w:rsid w:val="00FA0D5D"/>
    <w:rsid w:val="00FA26B1"/>
    <w:rsid w:val="00FA3EC5"/>
    <w:rsid w:val="00FA7E1A"/>
    <w:rsid w:val="00FB1882"/>
    <w:rsid w:val="00FB2166"/>
    <w:rsid w:val="00FB39BE"/>
    <w:rsid w:val="00FB421E"/>
    <w:rsid w:val="00FC0987"/>
    <w:rsid w:val="00FC2F33"/>
    <w:rsid w:val="00FC66F8"/>
    <w:rsid w:val="00FC6969"/>
    <w:rsid w:val="00FC6A07"/>
    <w:rsid w:val="00FC6BF9"/>
    <w:rsid w:val="00FD148D"/>
    <w:rsid w:val="00FD36A5"/>
    <w:rsid w:val="00FD486C"/>
    <w:rsid w:val="00FE0689"/>
    <w:rsid w:val="00FE088E"/>
    <w:rsid w:val="00FE1CB4"/>
    <w:rsid w:val="00FE2AAD"/>
    <w:rsid w:val="00FE5E49"/>
    <w:rsid w:val="00FE65F2"/>
    <w:rsid w:val="00FF2325"/>
    <w:rsid w:val="00FF3577"/>
    <w:rsid w:val="00FF54BB"/>
    <w:rsid w:val="015B35AA"/>
    <w:rsid w:val="019E7A2F"/>
    <w:rsid w:val="02441831"/>
    <w:rsid w:val="02884D23"/>
    <w:rsid w:val="03372AE1"/>
    <w:rsid w:val="04BE4CC7"/>
    <w:rsid w:val="08095F50"/>
    <w:rsid w:val="087A2D79"/>
    <w:rsid w:val="0906619E"/>
    <w:rsid w:val="0B611265"/>
    <w:rsid w:val="0D2008B3"/>
    <w:rsid w:val="0E621E0F"/>
    <w:rsid w:val="0E944012"/>
    <w:rsid w:val="0F0300A1"/>
    <w:rsid w:val="0FE60F3E"/>
    <w:rsid w:val="105B06A6"/>
    <w:rsid w:val="10B44025"/>
    <w:rsid w:val="1135460E"/>
    <w:rsid w:val="148F2EC5"/>
    <w:rsid w:val="16A969CA"/>
    <w:rsid w:val="16CC0F97"/>
    <w:rsid w:val="18FD0A68"/>
    <w:rsid w:val="1C2F27B0"/>
    <w:rsid w:val="1C65391F"/>
    <w:rsid w:val="1CDB515F"/>
    <w:rsid w:val="1D4629C7"/>
    <w:rsid w:val="20DE2403"/>
    <w:rsid w:val="2113291E"/>
    <w:rsid w:val="2156787A"/>
    <w:rsid w:val="219F5580"/>
    <w:rsid w:val="21BB264E"/>
    <w:rsid w:val="22552613"/>
    <w:rsid w:val="2434160D"/>
    <w:rsid w:val="24E30433"/>
    <w:rsid w:val="271B5B33"/>
    <w:rsid w:val="28202C21"/>
    <w:rsid w:val="285F1536"/>
    <w:rsid w:val="28A4049A"/>
    <w:rsid w:val="296E0E95"/>
    <w:rsid w:val="2BAC591E"/>
    <w:rsid w:val="2BE101AC"/>
    <w:rsid w:val="2D7C7920"/>
    <w:rsid w:val="2F72053F"/>
    <w:rsid w:val="2FB91EC4"/>
    <w:rsid w:val="31653B3E"/>
    <w:rsid w:val="33107132"/>
    <w:rsid w:val="352C0E52"/>
    <w:rsid w:val="379649EA"/>
    <w:rsid w:val="380E6CD7"/>
    <w:rsid w:val="38365AE5"/>
    <w:rsid w:val="39961F1F"/>
    <w:rsid w:val="3ACA5AC1"/>
    <w:rsid w:val="3B1B3ACA"/>
    <w:rsid w:val="3CAB604C"/>
    <w:rsid w:val="3F9860C4"/>
    <w:rsid w:val="435410C1"/>
    <w:rsid w:val="446023A5"/>
    <w:rsid w:val="45E03346"/>
    <w:rsid w:val="48E95280"/>
    <w:rsid w:val="49D64E14"/>
    <w:rsid w:val="4C1930EC"/>
    <w:rsid w:val="4C6A7227"/>
    <w:rsid w:val="4D4F6271"/>
    <w:rsid w:val="4F78147C"/>
    <w:rsid w:val="4FCA0836"/>
    <w:rsid w:val="51B20305"/>
    <w:rsid w:val="51D57174"/>
    <w:rsid w:val="528D5055"/>
    <w:rsid w:val="53C70137"/>
    <w:rsid w:val="53D4407A"/>
    <w:rsid w:val="54893A7C"/>
    <w:rsid w:val="548D538A"/>
    <w:rsid w:val="54FC71A2"/>
    <w:rsid w:val="562916A2"/>
    <w:rsid w:val="56C3379D"/>
    <w:rsid w:val="587B5F00"/>
    <w:rsid w:val="59251E01"/>
    <w:rsid w:val="593C1086"/>
    <w:rsid w:val="59DA715C"/>
    <w:rsid w:val="5A0A232F"/>
    <w:rsid w:val="5A3F5C03"/>
    <w:rsid w:val="5F3A58A5"/>
    <w:rsid w:val="60D91380"/>
    <w:rsid w:val="6118343F"/>
    <w:rsid w:val="61220E6A"/>
    <w:rsid w:val="615038AB"/>
    <w:rsid w:val="63B67F69"/>
    <w:rsid w:val="641C080A"/>
    <w:rsid w:val="64A07158"/>
    <w:rsid w:val="670C44A6"/>
    <w:rsid w:val="6B3723D2"/>
    <w:rsid w:val="6D1D7CAA"/>
    <w:rsid w:val="6DB44463"/>
    <w:rsid w:val="6EF645BD"/>
    <w:rsid w:val="6F7F59D9"/>
    <w:rsid w:val="70DD4CEB"/>
    <w:rsid w:val="70DF3561"/>
    <w:rsid w:val="742A0B2D"/>
    <w:rsid w:val="74DC449B"/>
    <w:rsid w:val="786728E3"/>
    <w:rsid w:val="794A7736"/>
    <w:rsid w:val="796A6E07"/>
    <w:rsid w:val="798C2E36"/>
    <w:rsid w:val="7A394C3E"/>
    <w:rsid w:val="7C4A4134"/>
    <w:rsid w:val="7CAA3FBF"/>
    <w:rsid w:val="7CB2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99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9"/>
    <w:pPr>
      <w:keepNext/>
      <w:spacing w:line="520" w:lineRule="exact"/>
      <w:outlineLvl w:val="0"/>
    </w:pPr>
    <w:rPr>
      <w:rFonts w:ascii="宋体" w:hAnsi="宋体" w:eastAsia="宋体" w:cs="宋体"/>
      <w:sz w:val="28"/>
      <w:szCs w:val="28"/>
    </w:rPr>
  </w:style>
  <w:style w:type="paragraph" w:styleId="3">
    <w:name w:val="heading 2"/>
    <w:basedOn w:val="1"/>
    <w:next w:val="1"/>
    <w:link w:val="38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paragraph" w:styleId="4">
    <w:name w:val="heading 3"/>
    <w:basedOn w:val="1"/>
    <w:next w:val="1"/>
    <w:link w:val="39"/>
    <w:qFormat/>
    <w:uiPriority w:val="99"/>
    <w:pPr>
      <w:keepNext/>
      <w:keepLines/>
      <w:spacing w:before="260" w:after="260" w:line="413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semiHidden/>
    <w:qFormat/>
    <w:uiPriority w:val="99"/>
    <w:pPr>
      <w:ind w:left="2520" w:leftChars="1200"/>
    </w:pPr>
    <w:rPr>
      <w:rFonts w:ascii="Times New Roman" w:hAnsi="Times New Roman" w:eastAsia="宋体" w:cs="Times New Roman"/>
      <w:szCs w:val="21"/>
    </w:rPr>
  </w:style>
  <w:style w:type="paragraph" w:styleId="6">
    <w:name w:val="caption"/>
    <w:basedOn w:val="1"/>
    <w:next w:val="1"/>
    <w:qFormat/>
    <w:uiPriority w:val="99"/>
    <w:rPr>
      <w:rFonts w:ascii="Arial" w:hAnsi="Arial" w:eastAsia="黑体" w:cs="Arial"/>
      <w:sz w:val="20"/>
      <w:szCs w:val="20"/>
    </w:rPr>
  </w:style>
  <w:style w:type="paragraph" w:styleId="7">
    <w:name w:val="annotation text"/>
    <w:basedOn w:val="1"/>
    <w:link w:val="43"/>
    <w:semiHidden/>
    <w:qFormat/>
    <w:uiPriority w:val="99"/>
    <w:pPr>
      <w:jc w:val="left"/>
    </w:pPr>
    <w:rPr>
      <w:rFonts w:ascii="Times New Roman" w:hAnsi="Times New Roman" w:eastAsia="宋体" w:cs="Times New Roman"/>
      <w:szCs w:val="21"/>
    </w:rPr>
  </w:style>
  <w:style w:type="paragraph" w:styleId="8">
    <w:name w:val="Body Text Indent"/>
    <w:basedOn w:val="1"/>
    <w:link w:val="61"/>
    <w:qFormat/>
    <w:uiPriority w:val="99"/>
    <w:pPr>
      <w:spacing w:after="120"/>
      <w:ind w:left="420" w:leftChars="200"/>
    </w:pPr>
    <w:rPr>
      <w:rFonts w:ascii="Times New Roman" w:hAnsi="Times New Roman" w:eastAsia="宋体" w:cs="Times New Roman"/>
      <w:szCs w:val="21"/>
    </w:rPr>
  </w:style>
  <w:style w:type="paragraph" w:styleId="9">
    <w:name w:val="toc 5"/>
    <w:basedOn w:val="1"/>
    <w:next w:val="1"/>
    <w:semiHidden/>
    <w:qFormat/>
    <w:uiPriority w:val="99"/>
    <w:pPr>
      <w:ind w:left="1680" w:leftChars="800"/>
    </w:pPr>
    <w:rPr>
      <w:rFonts w:ascii="Times New Roman" w:hAnsi="Times New Roman" w:eastAsia="宋体" w:cs="Times New Roman"/>
      <w:szCs w:val="21"/>
    </w:rPr>
  </w:style>
  <w:style w:type="paragraph" w:styleId="10">
    <w:name w:val="toc 3"/>
    <w:basedOn w:val="1"/>
    <w:next w:val="1"/>
    <w:semiHidden/>
    <w:qFormat/>
    <w:uiPriority w:val="99"/>
    <w:pPr>
      <w:ind w:left="840" w:leftChars="400"/>
    </w:pPr>
    <w:rPr>
      <w:rFonts w:ascii="Times New Roman" w:hAnsi="Times New Roman" w:eastAsia="宋体" w:cs="Times New Roman"/>
      <w:szCs w:val="21"/>
    </w:rPr>
  </w:style>
  <w:style w:type="paragraph" w:styleId="11">
    <w:name w:val="Plain Text"/>
    <w:basedOn w:val="1"/>
    <w:link w:val="33"/>
    <w:qFormat/>
    <w:uiPriority w:val="99"/>
    <w:rPr>
      <w:rFonts w:ascii="宋体" w:hAnsi="Courier New" w:eastAsia="宋体" w:cs="宋体"/>
      <w:szCs w:val="21"/>
    </w:rPr>
  </w:style>
  <w:style w:type="paragraph" w:styleId="12">
    <w:name w:val="toc 8"/>
    <w:basedOn w:val="1"/>
    <w:next w:val="1"/>
    <w:semiHidden/>
    <w:qFormat/>
    <w:uiPriority w:val="99"/>
    <w:pPr>
      <w:ind w:left="2940" w:leftChars="1400"/>
    </w:pPr>
    <w:rPr>
      <w:rFonts w:ascii="Times New Roman" w:hAnsi="Times New Roman" w:eastAsia="宋体" w:cs="Times New Roman"/>
      <w:szCs w:val="21"/>
    </w:rPr>
  </w:style>
  <w:style w:type="paragraph" w:styleId="13">
    <w:name w:val="Date"/>
    <w:basedOn w:val="1"/>
    <w:next w:val="1"/>
    <w:link w:val="52"/>
    <w:qFormat/>
    <w:uiPriority w:val="99"/>
    <w:pPr>
      <w:ind w:left="100" w:leftChars="2500"/>
    </w:pPr>
    <w:rPr>
      <w:rFonts w:ascii="Times New Roman" w:hAnsi="Times New Roman" w:eastAsia="宋体" w:cs="Times New Roman"/>
      <w:szCs w:val="21"/>
    </w:rPr>
  </w:style>
  <w:style w:type="paragraph" w:styleId="14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semiHidden/>
    <w:qFormat/>
    <w:uiPriority w:val="0"/>
    <w:pPr>
      <w:tabs>
        <w:tab w:val="right" w:leader="dot" w:pos="8296"/>
      </w:tabs>
      <w:spacing w:line="360" w:lineRule="auto"/>
      <w:jc w:val="left"/>
    </w:pPr>
    <w:rPr>
      <w:rFonts w:ascii="Times New Roman" w:hAnsi="Times New Roman" w:eastAsia="宋体" w:cs="Times New Roman"/>
      <w:sz w:val="24"/>
      <w:szCs w:val="24"/>
    </w:rPr>
  </w:style>
  <w:style w:type="paragraph" w:styleId="18">
    <w:name w:val="toc 4"/>
    <w:basedOn w:val="1"/>
    <w:next w:val="1"/>
    <w:semiHidden/>
    <w:qFormat/>
    <w:uiPriority w:val="99"/>
    <w:pPr>
      <w:ind w:left="1260" w:leftChars="600"/>
    </w:pPr>
    <w:rPr>
      <w:rFonts w:ascii="Times New Roman" w:hAnsi="Times New Roman" w:eastAsia="宋体" w:cs="Times New Roman"/>
      <w:szCs w:val="21"/>
    </w:rPr>
  </w:style>
  <w:style w:type="paragraph" w:styleId="19">
    <w:name w:val="toc 6"/>
    <w:basedOn w:val="1"/>
    <w:next w:val="1"/>
    <w:semiHidden/>
    <w:qFormat/>
    <w:uiPriority w:val="99"/>
    <w:pPr>
      <w:ind w:left="2100" w:leftChars="1000"/>
    </w:pPr>
    <w:rPr>
      <w:rFonts w:ascii="Times New Roman" w:hAnsi="Times New Roman" w:eastAsia="宋体" w:cs="Times New Roman"/>
      <w:szCs w:val="21"/>
    </w:rPr>
  </w:style>
  <w:style w:type="paragraph" w:styleId="20">
    <w:name w:val="toc 2"/>
    <w:basedOn w:val="1"/>
    <w:next w:val="1"/>
    <w:semiHidden/>
    <w:qFormat/>
    <w:uiPriority w:val="99"/>
    <w:pPr>
      <w:ind w:left="420" w:leftChars="200"/>
    </w:pPr>
    <w:rPr>
      <w:rFonts w:ascii="Times New Roman" w:hAnsi="Times New Roman" w:eastAsia="宋体" w:cs="Times New Roman"/>
      <w:szCs w:val="21"/>
    </w:rPr>
  </w:style>
  <w:style w:type="paragraph" w:styleId="21">
    <w:name w:val="toc 9"/>
    <w:basedOn w:val="1"/>
    <w:next w:val="1"/>
    <w:semiHidden/>
    <w:qFormat/>
    <w:uiPriority w:val="99"/>
    <w:pPr>
      <w:ind w:left="3360" w:leftChars="1600"/>
    </w:pPr>
    <w:rPr>
      <w:rFonts w:ascii="Times New Roman" w:hAnsi="Times New Roman" w:eastAsia="宋体" w:cs="Times New Roman"/>
      <w:szCs w:val="21"/>
    </w:rPr>
  </w:style>
  <w:style w:type="paragraph" w:styleId="2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3">
    <w:name w:val="annotation subject"/>
    <w:basedOn w:val="7"/>
    <w:next w:val="7"/>
    <w:link w:val="44"/>
    <w:semiHidden/>
    <w:qFormat/>
    <w:uiPriority w:val="99"/>
    <w:rPr>
      <w:b/>
      <w:bCs/>
    </w:rPr>
  </w:style>
  <w:style w:type="table" w:styleId="25">
    <w:name w:val="Table Grid"/>
    <w:basedOn w:val="24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page number"/>
    <w:basedOn w:val="26"/>
    <w:qFormat/>
    <w:uiPriority w:val="99"/>
    <w:rPr>
      <w:rFonts w:cs="Times New Roman"/>
    </w:rPr>
  </w:style>
  <w:style w:type="character" w:styleId="28">
    <w:name w:val="Emphasis"/>
    <w:basedOn w:val="26"/>
    <w:qFormat/>
    <w:uiPriority w:val="99"/>
    <w:rPr>
      <w:rFonts w:cs="Times New Roman"/>
      <w:i/>
      <w:iCs/>
    </w:rPr>
  </w:style>
  <w:style w:type="character" w:styleId="29">
    <w:name w:val="Hyperlink"/>
    <w:basedOn w:val="26"/>
    <w:qFormat/>
    <w:uiPriority w:val="0"/>
    <w:rPr>
      <w:rFonts w:cs="Times New Roman"/>
      <w:color w:val="0000FF"/>
      <w:u w:val="single"/>
    </w:rPr>
  </w:style>
  <w:style w:type="character" w:styleId="30">
    <w:name w:val="annotation reference"/>
    <w:basedOn w:val="26"/>
    <w:semiHidden/>
    <w:qFormat/>
    <w:uiPriority w:val="99"/>
    <w:rPr>
      <w:rFonts w:cs="Times New Roman"/>
      <w:sz w:val="21"/>
      <w:szCs w:val="21"/>
    </w:rPr>
  </w:style>
  <w:style w:type="character" w:customStyle="1" w:styleId="31">
    <w:name w:val="页眉 Char"/>
    <w:basedOn w:val="26"/>
    <w:link w:val="16"/>
    <w:semiHidden/>
    <w:qFormat/>
    <w:uiPriority w:val="99"/>
    <w:rPr>
      <w:sz w:val="18"/>
      <w:szCs w:val="18"/>
    </w:rPr>
  </w:style>
  <w:style w:type="character" w:customStyle="1" w:styleId="32">
    <w:name w:val="页脚 Char"/>
    <w:basedOn w:val="26"/>
    <w:link w:val="15"/>
    <w:qFormat/>
    <w:uiPriority w:val="99"/>
    <w:rPr>
      <w:sz w:val="18"/>
      <w:szCs w:val="18"/>
    </w:rPr>
  </w:style>
  <w:style w:type="character" w:customStyle="1" w:styleId="33">
    <w:name w:val="纯文本 Char"/>
    <w:basedOn w:val="26"/>
    <w:link w:val="11"/>
    <w:qFormat/>
    <w:uiPriority w:val="99"/>
    <w:rPr>
      <w:rFonts w:ascii="宋体" w:hAnsi="Courier New" w:eastAsia="宋体" w:cs="宋体"/>
      <w:szCs w:val="21"/>
    </w:rPr>
  </w:style>
  <w:style w:type="paragraph" w:customStyle="1" w:styleId="3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35">
    <w:name w:val="批注框文本 Char"/>
    <w:basedOn w:val="26"/>
    <w:link w:val="14"/>
    <w:semiHidden/>
    <w:qFormat/>
    <w:uiPriority w:val="99"/>
    <w:rPr>
      <w:sz w:val="18"/>
      <w:szCs w:val="18"/>
    </w:rPr>
  </w:style>
  <w:style w:type="character" w:styleId="36">
    <w:name w:val="Placeholder Text"/>
    <w:basedOn w:val="26"/>
    <w:semiHidden/>
    <w:qFormat/>
    <w:uiPriority w:val="99"/>
    <w:rPr>
      <w:color w:val="808080"/>
    </w:rPr>
  </w:style>
  <w:style w:type="character" w:customStyle="1" w:styleId="37">
    <w:name w:val="标题 1 Char"/>
    <w:basedOn w:val="26"/>
    <w:link w:val="2"/>
    <w:qFormat/>
    <w:uiPriority w:val="0"/>
    <w:rPr>
      <w:rFonts w:ascii="宋体" w:hAnsi="宋体" w:eastAsia="宋体" w:cs="宋体"/>
      <w:sz w:val="28"/>
      <w:szCs w:val="28"/>
    </w:rPr>
  </w:style>
  <w:style w:type="character" w:customStyle="1" w:styleId="38">
    <w:name w:val="标题 2 Char"/>
    <w:basedOn w:val="26"/>
    <w:link w:val="3"/>
    <w:qFormat/>
    <w:uiPriority w:val="99"/>
    <w:rPr>
      <w:rFonts w:ascii="Arial" w:hAnsi="Arial" w:eastAsia="黑体" w:cs="Arial"/>
      <w:b/>
      <w:bCs/>
      <w:sz w:val="32"/>
      <w:szCs w:val="32"/>
    </w:rPr>
  </w:style>
  <w:style w:type="character" w:customStyle="1" w:styleId="39">
    <w:name w:val="标题 3 Char"/>
    <w:basedOn w:val="26"/>
    <w:link w:val="4"/>
    <w:qFormat/>
    <w:uiPriority w:val="9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0">
    <w:name w:val="Char Char2"/>
    <w:qFormat/>
    <w:uiPriority w:val="99"/>
    <w:rPr>
      <w:kern w:val="2"/>
      <w:sz w:val="21"/>
    </w:rPr>
  </w:style>
  <w:style w:type="character" w:customStyle="1" w:styleId="41">
    <w:name w:val="Char Char"/>
    <w:qFormat/>
    <w:uiPriority w:val="99"/>
    <w:rPr>
      <w:b/>
      <w:kern w:val="2"/>
      <w:sz w:val="21"/>
    </w:rPr>
  </w:style>
  <w:style w:type="character" w:customStyle="1" w:styleId="42">
    <w:name w:val="段 Char Char"/>
    <w:qFormat/>
    <w:uiPriority w:val="99"/>
    <w:rPr>
      <w:rFonts w:ascii="宋体" w:eastAsia="宋体"/>
      <w:sz w:val="21"/>
      <w:lang w:val="en-US" w:eastAsia="zh-CN"/>
    </w:rPr>
  </w:style>
  <w:style w:type="character" w:customStyle="1" w:styleId="43">
    <w:name w:val="批注文字 Char"/>
    <w:basedOn w:val="26"/>
    <w:link w:val="7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44">
    <w:name w:val="批注主题 Char"/>
    <w:basedOn w:val="43"/>
    <w:link w:val="23"/>
    <w:semiHidden/>
    <w:qFormat/>
    <w:uiPriority w:val="99"/>
    <w:rPr>
      <w:rFonts w:ascii="Times New Roman" w:hAnsi="Times New Roman" w:eastAsia="宋体" w:cs="Times New Roman"/>
      <w:b/>
      <w:bCs/>
      <w:szCs w:val="21"/>
    </w:rPr>
  </w:style>
  <w:style w:type="paragraph" w:customStyle="1" w:styleId="45">
    <w:name w:val="样式 (符号) 宋体 行距: 最小值 27 磅"/>
    <w:basedOn w:val="1"/>
    <w:qFormat/>
    <w:uiPriority w:val="99"/>
    <w:pPr>
      <w:spacing w:line="400" w:lineRule="atLeast"/>
    </w:pPr>
    <w:rPr>
      <w:rFonts w:ascii="Times New Roman" w:hAnsi="宋体" w:eastAsia="宋体" w:cs="Times New Roman"/>
      <w:szCs w:val="21"/>
    </w:rPr>
  </w:style>
  <w:style w:type="paragraph" w:customStyle="1" w:styleId="46">
    <w:name w:val="Char Char1"/>
    <w:basedOn w:val="1"/>
    <w:qFormat/>
    <w:uiPriority w:val="99"/>
    <w:rPr>
      <w:rFonts w:ascii="Tahoma" w:hAnsi="Tahoma" w:eastAsia="宋体" w:cs="Tahoma"/>
      <w:sz w:val="24"/>
      <w:szCs w:val="24"/>
    </w:rPr>
  </w:style>
  <w:style w:type="paragraph" w:customStyle="1" w:styleId="47">
    <w:name w:val="Char Char Char1 Char Char Char Char Char Char Char Char Char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宋体" w:cs="Verdana"/>
      <w:kern w:val="0"/>
      <w:sz w:val="18"/>
      <w:szCs w:val="18"/>
      <w:lang w:eastAsia="en-US"/>
    </w:rPr>
  </w:style>
  <w:style w:type="paragraph" w:customStyle="1" w:styleId="48">
    <w:name w:val="标准文件_段"/>
    <w:qFormat/>
    <w:uiPriority w:val="99"/>
    <w:pPr>
      <w:autoSpaceDE w:val="0"/>
      <w:autoSpaceDN w:val="0"/>
      <w:adjustRightInd w:val="0"/>
      <w:snapToGrid w:val="0"/>
      <w:spacing w:line="276" w:lineRule="auto"/>
      <w:ind w:right="-105" w:rightChars="-50" w:firstLine="488" w:firstLineChars="200"/>
      <w:jc w:val="both"/>
    </w:pPr>
    <w:rPr>
      <w:rFonts w:ascii="宋体" w:hAnsi="宋体" w:eastAsia="宋体" w:cs="宋体"/>
      <w:color w:val="00FF00"/>
      <w:spacing w:val="2"/>
      <w:sz w:val="24"/>
      <w:szCs w:val="24"/>
      <w:lang w:val="en-US" w:eastAsia="zh-CN" w:bidi="ar-SA"/>
    </w:rPr>
  </w:style>
  <w:style w:type="paragraph" w:customStyle="1" w:styleId="49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paragraph" w:customStyle="1" w:styleId="50">
    <w:name w:val="Char"/>
    <w:basedOn w:val="1"/>
    <w:qFormat/>
    <w:uiPriority w:val="99"/>
    <w:pPr>
      <w:tabs>
        <w:tab w:val="left" w:pos="360"/>
      </w:tabs>
    </w:pPr>
    <w:rPr>
      <w:rFonts w:ascii="Times New Roman" w:hAnsi="Times New Roman" w:eastAsia="宋体" w:cs="Times New Roman"/>
      <w:szCs w:val="21"/>
    </w:rPr>
  </w:style>
  <w:style w:type="character" w:customStyle="1" w:styleId="51">
    <w:name w:val="yiv1204497060"/>
    <w:basedOn w:val="26"/>
    <w:qFormat/>
    <w:uiPriority w:val="99"/>
    <w:rPr>
      <w:rFonts w:cs="Times New Roman"/>
    </w:rPr>
  </w:style>
  <w:style w:type="character" w:customStyle="1" w:styleId="52">
    <w:name w:val="日期 Char"/>
    <w:basedOn w:val="26"/>
    <w:link w:val="13"/>
    <w:qFormat/>
    <w:uiPriority w:val="99"/>
    <w:rPr>
      <w:rFonts w:ascii="Times New Roman" w:hAnsi="Times New Roman" w:eastAsia="宋体" w:cs="Times New Roman"/>
      <w:szCs w:val="21"/>
    </w:rPr>
  </w:style>
  <w:style w:type="paragraph" w:customStyle="1" w:styleId="53">
    <w:name w:val="封面标准英文名称"/>
    <w:qFormat/>
    <w:uiPriority w:val="99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szCs w:val="28"/>
      <w:lang w:val="en-US" w:eastAsia="zh-CN" w:bidi="ar-SA"/>
    </w:rPr>
  </w:style>
  <w:style w:type="paragraph" w:customStyle="1" w:styleId="54">
    <w:name w:val="前言、引言标题"/>
    <w:next w:val="1"/>
    <w:qFormat/>
    <w:uiPriority w:val="99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黑体"/>
      <w:sz w:val="32"/>
      <w:szCs w:val="32"/>
      <w:lang w:val="en-US" w:eastAsia="zh-CN" w:bidi="ar-SA"/>
    </w:rPr>
  </w:style>
  <w:style w:type="paragraph" w:customStyle="1" w:styleId="55">
    <w:name w:val="章标题"/>
    <w:next w:val="49"/>
    <w:qFormat/>
    <w:uiPriority w:val="99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56">
    <w:name w:val="一级条标题"/>
    <w:basedOn w:val="55"/>
    <w:next w:val="49"/>
    <w:qFormat/>
    <w:uiPriority w:val="99"/>
    <w:pPr>
      <w:numPr>
        <w:ilvl w:val="2"/>
      </w:numPr>
      <w:spacing w:beforeLines="0" w:afterLines="0"/>
      <w:outlineLvl w:val="2"/>
    </w:pPr>
  </w:style>
  <w:style w:type="paragraph" w:customStyle="1" w:styleId="57">
    <w:name w:val="二级条标题"/>
    <w:basedOn w:val="56"/>
    <w:next w:val="49"/>
    <w:qFormat/>
    <w:uiPriority w:val="99"/>
    <w:pPr>
      <w:numPr>
        <w:ilvl w:val="3"/>
      </w:numPr>
      <w:ind w:left="0"/>
      <w:outlineLvl w:val="3"/>
    </w:pPr>
  </w:style>
  <w:style w:type="paragraph" w:customStyle="1" w:styleId="58">
    <w:name w:val="三级条标题"/>
    <w:basedOn w:val="57"/>
    <w:next w:val="49"/>
    <w:qFormat/>
    <w:uiPriority w:val="99"/>
    <w:pPr>
      <w:numPr>
        <w:ilvl w:val="4"/>
      </w:numPr>
      <w:outlineLvl w:val="4"/>
    </w:pPr>
  </w:style>
  <w:style w:type="paragraph" w:customStyle="1" w:styleId="59">
    <w:name w:val="四级条标题"/>
    <w:basedOn w:val="58"/>
    <w:next w:val="49"/>
    <w:qFormat/>
    <w:uiPriority w:val="99"/>
    <w:pPr>
      <w:numPr>
        <w:ilvl w:val="5"/>
      </w:numPr>
      <w:outlineLvl w:val="5"/>
    </w:pPr>
  </w:style>
  <w:style w:type="paragraph" w:customStyle="1" w:styleId="60">
    <w:name w:val="五级条标题"/>
    <w:basedOn w:val="59"/>
    <w:next w:val="49"/>
    <w:qFormat/>
    <w:uiPriority w:val="99"/>
    <w:pPr>
      <w:numPr>
        <w:ilvl w:val="6"/>
      </w:numPr>
      <w:outlineLvl w:val="6"/>
    </w:pPr>
  </w:style>
  <w:style w:type="character" w:customStyle="1" w:styleId="61">
    <w:name w:val="正文文本缩进 Char"/>
    <w:basedOn w:val="26"/>
    <w:link w:val="8"/>
    <w:qFormat/>
    <w:uiPriority w:val="99"/>
    <w:rPr>
      <w:rFonts w:ascii="Times New Roman" w:hAnsi="Times New Roman" w:eastAsia="宋体" w:cs="Times New Roman"/>
      <w:szCs w:val="21"/>
    </w:rPr>
  </w:style>
  <w:style w:type="paragraph" w:customStyle="1" w:styleId="62">
    <w:name w:val="Char Char Char Char Char Char Char Char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4"/>
      <w:szCs w:val="24"/>
      <w:lang w:eastAsia="en-US"/>
    </w:rPr>
  </w:style>
  <w:style w:type="paragraph" w:styleId="63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Calibri"/>
      <w:szCs w:val="21"/>
    </w:rPr>
  </w:style>
  <w:style w:type="paragraph" w:customStyle="1" w:styleId="6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6" Type="http://schemas.openxmlformats.org/officeDocument/2006/relationships/fontTable" Target="fontTable.xml"/><Relationship Id="rId85" Type="http://schemas.openxmlformats.org/officeDocument/2006/relationships/customXml" Target="../customXml/item2.xml"/><Relationship Id="rId84" Type="http://schemas.openxmlformats.org/officeDocument/2006/relationships/numbering" Target="numbering.xml"/><Relationship Id="rId83" Type="http://schemas.openxmlformats.org/officeDocument/2006/relationships/customXml" Target="../customXml/item1.xml"/><Relationship Id="rId82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7.wmf"/><Relationship Id="rId8" Type="http://schemas.openxmlformats.org/officeDocument/2006/relationships/image" Target="media/image3.png"/><Relationship Id="rId79" Type="http://schemas.openxmlformats.org/officeDocument/2006/relationships/oleObject" Target="embeddings/oleObject38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7.bin"/><Relationship Id="rId76" Type="http://schemas.openxmlformats.org/officeDocument/2006/relationships/oleObject" Target="embeddings/oleObject36.bin"/><Relationship Id="rId75" Type="http://schemas.openxmlformats.org/officeDocument/2006/relationships/oleObject" Target="embeddings/oleObject35.bin"/><Relationship Id="rId74" Type="http://schemas.openxmlformats.org/officeDocument/2006/relationships/oleObject" Target="embeddings/oleObject34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2.bin"/><Relationship Id="rId7" Type="http://schemas.openxmlformats.org/officeDocument/2006/relationships/image" Target="media/image2.png"/><Relationship Id="rId69" Type="http://schemas.openxmlformats.org/officeDocument/2006/relationships/image" Target="media/image33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9.bin"/><Relationship Id="rId63" Type="http://schemas.openxmlformats.org/officeDocument/2006/relationships/oleObject" Target="embeddings/oleObject28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9.wmf"/><Relationship Id="rId6" Type="http://schemas.openxmlformats.org/officeDocument/2006/relationships/image" Target="media/image1.png"/><Relationship Id="rId59" Type="http://schemas.openxmlformats.org/officeDocument/2006/relationships/oleObject" Target="embeddings/oleObject26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EB5754-DC43-4C9C-8A59-BC95D77E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25</Pages>
  <Words>2195</Words>
  <Characters>12512</Characters>
  <Lines>104</Lines>
  <Paragraphs>29</Paragraphs>
  <TotalTime>26</TotalTime>
  <ScaleCrop>false</ScaleCrop>
  <LinksUpToDate>false</LinksUpToDate>
  <CharactersWithSpaces>14678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2021-07-12T10:52:00Z</dcterms:created>
  <dc:creator>微软用户</dc:creator>
  <cp:lastModifiedBy>hurong</cp:lastModifiedBy>
  <cp:lastPrinted>2021-07-14T00:15:00Z</cp:lastPrinted>
  <dcterms:modified xsi:type="dcterms:W3CDTF">2024-06-10T06:03:03Z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